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5"/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415925" cy="534670"/>
            <wp:effectExtent l="0" t="0" r="3175" b="1778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АДМИНИСТРАЦИЯ</w:t>
      </w: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 МУНИЦИПАЛЬНОГО РАЙОНА</w:t>
      </w: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Хабаровского края</w:t>
      </w: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ПОСТАНОВЛЕНИЕ</w:t>
      </w:r>
    </w:p>
    <w:tbl>
      <w:tblPr>
        <w:tblStyle w:val="4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color w:val="404040" w:themeColor="text1" w:themeTint="BF"/>
                <w:highlight w:val="red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07.12.2022 № 16</w:t>
            </w:r>
          </w:p>
          <w:p>
            <w:pPr>
              <w:jc w:val="center"/>
              <w:rPr>
                <w:color w:val="404040" w:themeColor="text1" w:themeTint="BF"/>
                <w:highlight w:val="red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с. Согда</w:t>
            </w:r>
          </w:p>
        </w:tc>
      </w:tr>
    </w:tbl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4"/>
        <w:tblpPr w:leftFromText="180" w:rightFromText="180" w:vertAnchor="text" w:horzAnchor="page" w:tblpX="1697" w:tblpY="1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5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 внесении изменений в Методику 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поселения, утвержденного постановлением администрации Согдинского сельского поселения от 19.10.2018 г. № 22 «</w:t>
            </w:r>
            <w:r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</w:t>
            </w:r>
            <w:r>
              <w:rPr>
                <w:bCs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»</w:t>
            </w:r>
          </w:p>
        </w:tc>
      </w:tr>
    </w:tbl>
    <w:p>
      <w:pPr>
        <w:rPr>
          <w:color w:val="404040" w:themeColor="text1" w:themeTint="BF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spacing w:line="240" w:lineRule="exact"/>
        <w:jc w:val="both"/>
        <w:rPr>
          <w:bCs/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В соответствии со </w:t>
      </w:r>
      <w:r>
        <w:fldChar w:fldCharType="begin"/>
      </w:r>
      <w:r>
        <w:instrText xml:space="preserve"> HYPERLINK "consultantplus://offline/ref=70D3BC4768EB041E2B5286254D6683CE4BFA4BF04A872B4E23F3DD4B042D4B357A28DA18EB20j04BA" </w:instrText>
      </w:r>
      <w:r>
        <w:fldChar w:fldCharType="separate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статьей 160.1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Бюджетного кодекса Российской Федерации, </w:t>
      </w:r>
      <w:r>
        <w:fldChar w:fldCharType="begin"/>
      </w:r>
      <w:r>
        <w:instrText xml:space="preserve"> HYPERLINK "consultantplus://offline/ref=70D3BC4768EB041E2B5286254D6683CE4BFA4AF14C832B4E23F3DD4B042D4B357A28DA1DEF200327j741A" </w:instrText>
      </w:r>
      <w:r>
        <w:fldChar w:fldCharType="separate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пунктом 3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Постановления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Федерации», Приказом Минфина России от 17 мая 2022 г. № 75н «Об утверждении кодов (перечней кодов) бюджетной классификации Российской Федерации на 2023 год (на 2023 год и на плановый период 2024 и 2025 годов)» в целях повышения эффективности управления муниципальными финансами, повышения объективности прогнозирования доходов бюджета Согдинского сельского поселения, администрация Согдинского сельского поселения Верхнебуреинского муниципального района Хабаровского края</w:t>
      </w:r>
    </w:p>
    <w:p>
      <w:pPr>
        <w:spacing w:line="360" w:lineRule="auto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ПОСТАНОВЛЯЕТ:</w:t>
      </w:r>
    </w:p>
    <w:p>
      <w:pPr>
        <w:numPr>
          <w:ilvl w:val="0"/>
          <w:numId w:val="1"/>
        </w:numPr>
        <w:spacing w:line="360" w:lineRule="auto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Внести изменения в Методику прог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softHyphen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нозирования поступлений дохо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softHyphen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дов в бюджет Согдинского сельского поселения, главным админи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softHyphen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стратором которых является администрации Согдинского сельского поселения, утвержденную постановлением администрации Согдинского сельского поселения от 19.10.2018 г. № 22 «Об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района» изложив ее в новой редакции согласно приложению к настоящему постановлению.    </w:t>
      </w:r>
    </w:p>
    <w:p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Контроль за исполнением настоящего постановления оставляю за собой.</w:t>
      </w:r>
    </w:p>
    <w:p>
      <w:pPr>
        <w:spacing w:line="360" w:lineRule="auto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 Настоящее постановление вступает в силу с «01» января 2023 года и подлежит официальному опубликованию (обнародованию).</w:t>
      </w:r>
    </w:p>
    <w:p>
      <w:pPr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Глава сельского поселения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                         Е.М. Репина</w:t>
      </w: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26"/>
        <w:shd w:val="clear" w:color="auto" w:fill="auto"/>
        <w:spacing w:after="0"/>
        <w:ind w:firstLine="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</w:t>
      </w: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к постановлению администрации</w:t>
      </w: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Согдинского сельского поселения </w:t>
      </w: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07.12.2022 № 16</w:t>
      </w: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ind w:left="5387"/>
        <w:jc w:val="right"/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УТВЕРЖДЕНА</w:t>
      </w:r>
    </w:p>
    <w:p>
      <w:pPr>
        <w:suppressAutoHyphens/>
        <w:spacing w:line="240" w:lineRule="exact"/>
        <w:ind w:left="5103"/>
        <w:jc w:val="right"/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постановлением администрации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Согдинского сельского </w:t>
      </w:r>
      <w:r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поселения </w:t>
      </w:r>
    </w:p>
    <w:p>
      <w:pPr>
        <w:suppressAutoHyphens/>
        <w:ind w:left="5940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:lang w:eastAsia="ar-SA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19.10.2018 № 22</w:t>
      </w:r>
    </w:p>
    <w:p>
      <w:pPr>
        <w:pStyle w:val="26"/>
        <w:shd w:val="clear" w:color="auto" w:fill="auto"/>
        <w:spacing w:after="0"/>
        <w:ind w:firstLine="0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8"/>
        <w:widowControl/>
        <w:jc w:val="center"/>
        <w:rPr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МЕТОДИКА </w:t>
      </w:r>
    </w:p>
    <w:p>
      <w:pPr>
        <w:pStyle w:val="18"/>
        <w:widowControl/>
        <w:jc w:val="center"/>
        <w:rPr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 </w:t>
      </w:r>
    </w:p>
    <w:p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ind w:firstLine="708"/>
        <w:outlineLvl w:val="1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Общие положения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Настоящая Методика разработана в соответствии со </w:t>
      </w:r>
      <w:r>
        <w:fldChar w:fldCharType="begin"/>
      </w:r>
      <w:r>
        <w:instrText xml:space="preserve"> HYPERLINK "consultantplus://offline/ref=70D3BC4768EB041E2B5286254D6683CE4BFA4BF04A872B4E23F3DD4B042D4B357A28DA18EB20j04BA" </w:instrText>
      </w:r>
      <w:r>
        <w:fldChar w:fldCharType="separate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статьей 160.1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Бюджетного кодекса Российской Федерации, </w:t>
      </w:r>
      <w:r>
        <w:fldChar w:fldCharType="begin"/>
      </w:r>
      <w:r>
        <w:instrText xml:space="preserve"> HYPERLINK "consultantplus://offline/ref=70D3BC4768EB041E2B5286254D6683CE4BFA4AF14C832B4E23F3DD4B042D4B357A28DA1DEF200327j741A" </w:instrText>
      </w:r>
      <w:r>
        <w:fldChar w:fldCharType="separate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пунктом 3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Постановления Правительства Российской Федерации от 23 июня 2016 г. № 574 «Об общих требованиях к методике прогнозирования поступлений доходов в бюджеты бюджетной системы Российской Федерации», Приказом Минфина России от 08</w:t>
      </w:r>
      <w:r>
        <w:rPr>
          <w:rFonts w:hint="default"/>
          <w:color w:val="404040" w:themeColor="text1" w:themeTint="BF"/>
          <w:sz w:val="28"/>
          <w:szCs w:val="28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июня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2021</w:t>
      </w:r>
      <w:r>
        <w:rPr>
          <w:rFonts w:hint="default"/>
          <w:color w:val="404040" w:themeColor="text1" w:themeTint="BF"/>
          <w:sz w:val="28"/>
          <w:szCs w:val="28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г.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№75н «Об утверждении кодов (перечней кодов) бюджетной классификации Российской Федерации на 2022 год (на 2022 год и на плановый период 2023 и 2024 годов)», и применяется для  прогнозирования поступлений доходов в бюджет Согдинского сельского поселения по основным видам налоговых и неналоговых доходов, в разрезе кодов классификации доходов, главным администратором которых является администрация Согдинского сельского поселения.  </w:t>
      </w:r>
    </w:p>
    <w:p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1.1. Главный администратор доходов разрабатывает методику прогнозирования по всем кодам классификации доходов, в отношении которых он осуществляет полномочия главного администратора доходов, и утверждает ее по согласованию с финансовым управлением администрации Верхнебуреинского муниципального района Хабаровского края.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1.2. Методика прогнозирования разработана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1.3. Методика прогнозирования разрабатывается по каждому виду (или по решению главного администратора доходов - подвиду) доходов (далее - вид доходов) по форме и содержит: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наименование вида доходов и соответствующий код бюджетной классификации Российской Федерации;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описание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корректирующие показатели);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усреднение - расчет на основании усреднения годовых объемов доходов бюджета сельского поселения не менее чем за 3 года или за весь период поступления соответствующего вида доходов в случае, если он не превышает 3 года;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бюджета сельского поселения;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иной способ, который должен быть описан и обоснован в методике прогнозирования;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г) описание фактического алгоритма (и (или) формулу) расчета прогнозируемого объема поступлений в бюджет сельского поселения.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1.4. Методика прогнозирования в случаях, когда прогноз соответствующего вида доходов предусматривает использование показателей социально-экономического развития, основывается на показателях прогноза социально-экономического развития администрации Согдинского сельского поселения на среднесрочный период, разработанного администрацией Согдинского сельского поселения (далее - показатели прогноза социально-экономического развития).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1.5. Для расчета прогнозируемого объема налоговых доходов, при разработке методики прогнозирования: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применяется метод прямого расчета;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1.6. Для расчета прогнозируемого объема прочих доходов при разработке методики прогнозирования: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в части доходов от предоставления имущества, находящегося в муниципальной собственности, в аренду: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применяется метод прямого расчета;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договоры, заключенные (планируемые к заключению) с арендаторами, являются источником данных о сдаваемой в аренду площади и ставке арендной платы;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в части доходов, полученных в результате применения мер гражданско-правовой, административной и уголовной ответственности, в том числе штрафов, конфискаций и компенсаций, а также средств, полученных в возмещение вреда, причиненного публично-правовому образованию, и иных сумм принудительного изъятия (платежей):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 случае, если фиксированные размеры штрафов и иных сумм принудительного изъятия (платежей) в денежном выражении или их диапазоны установлены законодательно и есть возможность получения соответствующих статистических данных о количестве наложенных штрафов и иных сумм принудительного изъятия (платежей), применяется метод прямого расчета (по видам правонарушений и с учетом размеров платежей);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определение прогнозного количества наложенных штрафов и иных сумм принудительного изъятия (платежей) по каждому виду правонарушений, закрепленному в законодательстве Российской Федерации, основывается на статистических данных не менее чем за 3 года или за весь период закрепления в законодательстве Российской Федерации в случае, если этот период не превышает 3 лет;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размеры штрафов и иных сумм принудительного изъятия (платежей) по каждому виду правонарушений соответствуют положениям нормативных правовых актов муниципального образования с учетом изменений, запланированных на очередной финансовый год и плановый период;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 остальных случаях, кроме случая, указанного в абзаце втором настоящего подпункта, применяется один из методов (комбинация методов), указанных в подпункте «в» пункта 1.3 настоящего документа.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1.7. Для исчисления безвозмездных поступлений от других бюджетов бюджетной системы Российской Федерации при разработке методики прогнозирования ожидаемый объем безвозмездных поступлений 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определен. В иных случаях прогнозирование может осуществляться в соответствии с положениями, предусмотренными пунктами 1.3 – 1.4 настоящего документа.</w:t>
      </w:r>
    </w:p>
    <w:p>
      <w:pPr>
        <w:autoSpaceDE w:val="0"/>
        <w:autoSpaceDN w:val="0"/>
        <w:adjustRightInd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1.8. Разработка методики прогнозирования по видам доходов, не указанным в настоящем документе, осуществляется в соответствии с пунктами 1.3 – 1.4 настоящего документа.</w:t>
      </w:r>
    </w:p>
    <w:p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numPr>
          <w:ilvl w:val="0"/>
          <w:numId w:val="1"/>
        </w:numPr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Налоговые доходы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2.1.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по КБК код БК 809 1 08 04020 01 0000 110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 по следующей формуле: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Пгос = Ф * Кп + Д, где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Пгос – прогнозируемая сумма государственной пошлины, поступающая в бюджет сельского поселения, на очередной финансовый год;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Ф - фактические поступления государственной пошлины в бюджет сельского поселения в отчетном году;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Кп - коэффициент, характеризующий динамику поступлений в текущем году по сравнению с отчетным годом;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 - дополнительные (+) или выпадающие (-) доходы бюджета поселения по государственной пошлине в прогнозируемом финансовом году, связанные с изменениями налогового и бюджетного законодательства.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 Неналоговые доходы</w:t>
      </w:r>
    </w:p>
    <w:p>
      <w:pPr>
        <w:jc w:val="both"/>
        <w:rPr>
          <w:color w:val="404040"/>
          <w:sz w:val="28"/>
          <w:szCs w:val="28"/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3.1. Доходы от сдачи в аренду имущества,</w:t>
      </w:r>
      <w:r>
        <w:rPr>
          <w:color w:val="404040"/>
          <w:sz w:val="18"/>
          <w:szCs w:val="18"/>
        </w:rPr>
        <w:t xml:space="preserve"> </w:t>
      </w:r>
      <w:r>
        <w:rPr>
          <w:color w:val="404040"/>
          <w:sz w:val="28"/>
          <w:szCs w:val="28"/>
        </w:rPr>
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КБК 809 1 11 05035 10 0000 120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Основой расчета доходов от сдачи в аренду муниципального имущества, являются: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порядок исчисления и уплаты в бюджет сельского поселения арендной платы за пользование находящимися в муниципальной собственности нежилыми зданиями, отдельными помещениями, строениями, сооружениями и имущественными комплексами, установленный муниципальными нормативными правовыми актами;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ожидаемый объем поступлений доходов от сдачи в аренду муниципального имущества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 объема выбытия (объема увеличения поступлений) доходов от сдачи в аренду муниципального имущества в очередном финансовом году в связи с планируемым уменьшением (увеличением) площадей, сдаваемых в аренду (на основании программы приватизации муниципального имущества Согдинского сельского поселения на очередной финансовый год, планируемого преобразования казенных учреждений в бюджетные и автономные (либо преобразованием бюджетных и автономных учреждений в казенные),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сельского поселения арендной платы за имущество, установленного нормативными правовыми актами, и иных причин);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информация о размере индекса инфляции, установленного Федеральным законом о федеральном бюджете на текущий год и плановый период (далее - Коэффициент-дефлятор).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 поступлений доходов от сдачи в аренду муниципального имущества в бюджет сельского поселения на очередной финансовый год рассчитывается по следующей формуле:</w:t>
      </w:r>
    </w:p>
    <w:p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ан оф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= (О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оп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- 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рх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- 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сн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+ 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) x К + (- ) 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д/в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, где:</w:t>
      </w:r>
    </w:p>
    <w:p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аи оф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– прогноз поступлений доходов от сдачи в аренду муниципального имущества на очередной финансовый год;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оп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 объем ожидаемых поступлений доходов от сдачи в аренду муниципального имущества в текущем году;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рх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 объем ожидаемых поступлений доходов от сдачи в аренду муниципального имущества в текущем году, носящий разовый характер;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сн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 сумма снижения поступлений доходов от сдачи в аренду муниципального имущества в связи с планируемым сокращением площадей муниципального имущества, сдаваемого в аренду,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актами, и иных причин в очередном финансовом году;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 сумма увеличения поступлений доходов от сдачи в аренду муниципального имущества, в связи с планируемым увеличением площадей муниципального имущества и (или)в связи с передачей полномочий, выбытием льготных категорий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актами, и иных причин в очередном финансовом году;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- коэффициент-дефлятор;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д/в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- сумма дополнительных или выпадающих доходов, планируемых в очередном финансовом году по доходам от сдачи в аренду муниципального имущества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Объем ожидаемых поступлений доходов от сдачи в аренду муниципального имущества в бюджет сельского поселения в текущем году рассчитывается по следующей формуле:</w:t>
      </w:r>
    </w:p>
    <w:p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оп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= (Офп * 100) / У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+/- 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д/в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, где: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фп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–объем поступлений доходов от сдачи в аренду муниципального имущества по состоянию на последнюю отчетную дату текущего года;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- удельный вес поступлений доходов от сдачи в аренду муниципального имущества за аналогичный период отчетного года в общей сумме доходов от сдачи в аренду муниципального имущества, поступившей за отчетный финансовый год;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</w:t>
      </w:r>
      <w:r>
        <w:rPr>
          <w:color w:val="404040" w:themeColor="text1" w:themeTint="BF"/>
          <w:sz w:val="28"/>
          <w:szCs w:val="28"/>
          <w:vertAlign w:val="subscript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д/в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- сумма дополнительных или выпадающих доходов в текущем году по арендной плате за муниципальное имущество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Значение коэффициента, характеризующего рост (снижение) поступлений на каждый год планового периода, соответствует индексу инфляции, установленного Федеральным законом о федеральном бюджете на текущий год и плановый период.</w:t>
      </w:r>
    </w:p>
    <w:p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3.2. Штрафы, санкции, возмещение ущерба.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3.2.1.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КБК 809 116 0709010 0000 140 (далее - административные штрафы), прогноз объема поступлений 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предприятиями)по КБК  809 1 16 10032 10 0000 140 (далее - возмещение ущерба),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 по КБК 809 1 16 10061 10 0000 140,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по КБК 809 116 10062 10 0000 140, 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 КБК 809 1 16 10081 10 0000 140, 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 КБК 809 1 16 10082 10 0000 140, 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 КБК 809 1 16 10100 10 0000 140 осуществляется методом прямого расчета 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 объема поступлений административных штрафов рассчитывается как сумма прогноза поступлений административных штрафов по каждой статье КоАП РФ по следующей формуле: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 = ƩДg, где: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 - прогноз объема поступлений административных штрафов;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Дg - прогноз поступлений административных штрафов по соответству-ющей статье КоАП РФ.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Дg = Кg х Pg, где: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g - статья КоАП РФ;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Pg - минимальный размер административного штрафа по соответствующей статье КоАП РФ;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Kg - прогнозируемое количество административных правонарушений по соответствующей статье КоАП РФ.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Kg 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 объема поступлений административных штрафов на плановый период принимается равным прогнозу объема данных поступлений на очередной финансовый год.</w:t>
      </w:r>
    </w:p>
    <w:p>
      <w:pPr>
        <w:widowControl w:val="0"/>
        <w:spacing w:line="235" w:lineRule="exact"/>
        <w:ind w:left="20"/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4. Безвозмездные поступления от других бюджетов бюджетной системы РФ </w:t>
      </w:r>
    </w:p>
    <w:p>
      <w:pPr>
        <w:widowControl w:val="0"/>
        <w:ind w:firstLine="708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 объема поступлений безвозмездных поступлений в бюджет сельского поселения: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02 16001 10 0000 150 - Дотация бюджетам сельских поселений на выравнивание бюджетной обеспеченности из бюджетов муниципальных районов;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02 35118 10 0000150 -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02 35930 10 0000 150 - Субвенции бюджетам сельских поселений на государственную регистрацию актов гражданского состояния;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02 49999 10 0000 150 - Прочие межбюджетные трансферты, передаваемые бюджетам сельских поселений.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Осуществляется следующими методами: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4.1. В соответствии с результатами распределения дотаций и ИМБТ на выравнивание бюджетной обеспеченности между 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утверждаемыми законом Хабаровского края о краевом бюджете на очередной финансовый год и плановый период.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4.2. На уровне текущего финансового года (при отсутствии информации о результатах распределения дотаций, субсидий, субвенций и ИМБТ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утверждаемыми законом Хабаровского края о краевом бюджете на текущий финансовый год и плановый период.</w:t>
      </w:r>
    </w:p>
    <w:p>
      <w:pPr>
        <w:widowControl w:val="0"/>
        <w:ind w:left="23" w:firstLine="82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 w:val="0"/>
        <w:numPr>
          <w:ilvl w:val="0"/>
          <w:numId w:val="2"/>
        </w:numPr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Прочие доходы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1 17 01050 10 0000 180 - невыясненные поступления, зачисляемые в бюджеты сельских поселений;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1 17 05050 10 0000 180 - прочие неналоговые доходы бюджетов сельских поселений;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1 17 160000 10 0000 180 - 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1 17 15030 10 0000 150 - инициативные платежи, зачисляемые в бюджеты сельских поселений;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07 05030 10 0000 150 - прочие безвозмездные поступления в бюджеты сельских поселений;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08 10000 10 0000 150 - перечисления из бюджетов сельских поселений (в бюджеты сельских поселений) для осуществления взыскания;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18 60010 10 0000 150 -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районов;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КБК 809 2 19 60010 10 0000 150 - возврат остатков субсидий, субвенций и иных межбюджетных трансфертов, имеющих целевое назначение, прошлых лет из бюджетов сельских поселений.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>
      <w:pPr>
        <w:widowControl w:val="0"/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6.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spacing w:after="120"/>
        <w:ind w:left="11227"/>
        <w:jc w:val="center"/>
        <w:rPr>
          <w:color w:val="404040" w:themeColor="text1" w:themeTint="BF"/>
          <w:sz w:val="20"/>
          <w:szCs w:val="20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6" w:h="16838"/>
          <w:pgMar w:top="1134" w:right="850" w:bottom="1134" w:left="1701" w:header="709" w:footer="709" w:gutter="0"/>
          <w:cols w:space="708" w:num="1"/>
          <w:docGrid w:linePitch="360" w:charSpace="0"/>
        </w:sectPr>
      </w:pPr>
    </w:p>
    <w:p>
      <w:pPr>
        <w:autoSpaceDE w:val="0"/>
        <w:autoSpaceDN w:val="0"/>
        <w:spacing w:after="120"/>
        <w:ind w:left="11227"/>
        <w:jc w:val="righ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0"/>
          <w:szCs w:val="20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</w:t>
      </w:r>
      <w:r>
        <w:rPr>
          <w:color w:val="404040" w:themeColor="text1" w:themeTint="BF"/>
          <w:sz w:val="20"/>
          <w:szCs w:val="20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color w:val="404040" w:themeColor="text1" w:themeTint="BF"/>
          <w:sz w:val="20"/>
          <w:szCs w:val="20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к Методике </w:t>
      </w:r>
      <w:r>
        <w:rPr>
          <w:bCs/>
          <w:color w:val="404040" w:themeColor="text1" w:themeTint="BF"/>
          <w:sz w:val="20"/>
          <w:szCs w:val="20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прогнозирования поступлений доходов в бюджет Согдинского сельского поселения </w:t>
      </w:r>
    </w:p>
    <w:p>
      <w:pPr>
        <w:autoSpaceDE w:val="0"/>
        <w:autoSpaceDN w:val="0"/>
        <w:spacing w:after="120"/>
        <w:jc w:val="center"/>
        <w:rPr>
          <w:b/>
          <w:bCs/>
          <w:color w:val="404040" w:themeColor="text1" w:themeTint="BF"/>
          <w:spacing w:val="60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pacing w:val="60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МЕТОДИКА</w:t>
      </w:r>
    </w:p>
    <w:p>
      <w:pPr>
        <w:autoSpaceDE w:val="0"/>
        <w:autoSpaceDN w:val="0"/>
        <w:spacing w:after="240"/>
        <w:jc w:val="center"/>
        <w:rPr>
          <w:b/>
          <w:bCs/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прогнозирования поступлений доходов в бюджет Согдинского сельского поселения</w:t>
      </w:r>
      <w:r>
        <w:rPr>
          <w:b/>
          <w:bCs/>
          <w:color w:val="404040" w:themeColor="text1" w:themeTint="BF"/>
          <w:sz w:val="26"/>
          <w:szCs w:val="26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</w:p>
    <w:tbl>
      <w:tblPr>
        <w:tblStyle w:val="4"/>
        <w:tblW w:w="51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8"/>
        <w:gridCol w:w="810"/>
        <w:gridCol w:w="1620"/>
        <w:gridCol w:w="1650"/>
        <w:gridCol w:w="2220"/>
        <w:gridCol w:w="1005"/>
        <w:gridCol w:w="3240"/>
        <w:gridCol w:w="705"/>
        <w:gridCol w:w="3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№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br w:type="textWrapping"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п/п</w:t>
            </w:r>
          </w:p>
        </w:tc>
        <w:tc>
          <w:tcPr>
            <w:tcW w:w="269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главного админист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ратора доходов</w:t>
            </w:r>
          </w:p>
        </w:tc>
        <w:tc>
          <w:tcPr>
            <w:tcW w:w="538" w:type="pct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вание главного администратора доходов</w:t>
            </w:r>
          </w:p>
        </w:tc>
        <w:tc>
          <w:tcPr>
            <w:tcW w:w="548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КБК </w:t>
            </w:r>
            <w:r>
              <w:rPr>
                <w:color w:val="404040" w:themeColor="text1" w:themeTint="BF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endnoteReference w:id="0" w:customMarkFollows="1"/>
              <w:t>1</w:t>
            </w:r>
          </w:p>
        </w:tc>
        <w:tc>
          <w:tcPr>
            <w:tcW w:w="738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вание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br w:type="textWrapping"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КБК доходов</w:t>
            </w:r>
          </w:p>
        </w:tc>
        <w:tc>
          <w:tcPr>
            <w:tcW w:w="334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</w:t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вание метода расчета </w:t>
            </w:r>
            <w:r>
              <w:rPr>
                <w:color w:val="404040" w:themeColor="text1" w:themeTint="BF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endnoteReference w:id="1" w:customMarkFollows="1"/>
              <w:t>2</w:t>
            </w:r>
          </w:p>
        </w:tc>
        <w:tc>
          <w:tcPr>
            <w:tcW w:w="1077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Формула расчета </w:t>
            </w:r>
            <w:r>
              <w:rPr>
                <w:color w:val="404040" w:themeColor="text1" w:themeTint="BF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endnoteReference w:id="2" w:customMarkFollows="1"/>
              <w:t>3</w:t>
            </w:r>
          </w:p>
        </w:tc>
        <w:tc>
          <w:tcPr>
            <w:tcW w:w="234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Алгоритм расчета </w:t>
            </w:r>
            <w:r>
              <w:rPr>
                <w:color w:val="404040" w:themeColor="text1" w:themeTint="BF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endnoteReference w:id="3" w:customMarkFollows="1"/>
              <w:t>4</w:t>
            </w:r>
          </w:p>
        </w:tc>
        <w:tc>
          <w:tcPr>
            <w:tcW w:w="1107" w:type="pct"/>
            <w:vAlign w:val="center"/>
          </w:tcPr>
          <w:p>
            <w:pPr>
              <w:autoSpaceDE w:val="0"/>
              <w:autoSpaceDN w:val="0"/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Описание показателей </w:t>
            </w:r>
            <w:r>
              <w:rPr>
                <w:color w:val="404040" w:themeColor="text1" w:themeTint="BF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endnoteReference w:id="4" w:customMarkFollows="1"/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86" w:hRule="atLeast"/>
        </w:trPr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10804020010000110</w:t>
            </w:r>
          </w:p>
        </w:tc>
        <w:tc>
          <w:tcPr>
            <w:tcW w:w="738" w:type="pct"/>
          </w:tcPr>
          <w:p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4" w:type="pct"/>
          </w:tcPr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Методы усреднения и индексации</w:t>
            </w:r>
          </w:p>
        </w:tc>
        <w:tc>
          <w:tcPr>
            <w:tcW w:w="1077" w:type="pct"/>
          </w:tcPr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оступления государственной пошлины в прогнозируемом финансовом году по следующей формуле:</w:t>
            </w:r>
          </w:p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Пгос = Ф * Кп + Д, где</w:t>
            </w:r>
          </w:p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Пгос – прогнозируемая сумма государственной пошлины, поступающая в бюджет сельского поселения, на очередной финансовый год;</w:t>
            </w:r>
          </w:p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 - фактические поступления государственной пошлины в бюджет сельского поселения в отчетном году;</w:t>
            </w:r>
          </w:p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Кп - коэффициент, характеризующий динамику поступлений в текущем году по сравнению с отчетным годом;</w:t>
            </w:r>
          </w:p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дополнительные (+) или выпадающие (-) доходы бюджета поселения по государственной пошлине в прогнозируемом финансовом году, связанные с изменениями налогового и бюджетного законодательства.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Поступления по данному коду имеют «разовый характер».</w:t>
            </w:r>
          </w:p>
          <w:p>
            <w:pPr>
              <w:jc w:val="both"/>
              <w:rPr>
                <w:rFonts w:hint="default"/>
                <w:color w:val="404040" w:themeColor="text1" w:themeTint="BF"/>
                <w:sz w:val="22"/>
                <w:szCs w:val="22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Расчет осуществляется методом усреднения (по имеющимся данным о тенденциях изменения поступлений не менее чем за 3 предшествующих периода), с учетом корректирующей суммы поступлений, учитывающей изменения законодательства Российской Федерации, а также другие факторы</w:t>
            </w:r>
            <w:r>
              <w:rPr>
                <w:rFonts w:hint="default"/>
                <w:color w:val="404040" w:themeColor="text1" w:themeTint="BF"/>
                <w:sz w:val="22"/>
                <w:szCs w:val="22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Расчет поступлений на плановый период осуществляется с применением индекса потребительских цен.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</w:p>
        </w:tc>
        <w:tc>
          <w:tcPr>
            <w:tcW w:w="269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11105035100000120</w:t>
            </w:r>
          </w:p>
        </w:tc>
        <w:tc>
          <w:tcPr>
            <w:tcW w:w="738" w:type="pct"/>
          </w:tcPr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34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етод прямого расчета</w:t>
            </w:r>
            <w:bookmarkStart w:id="0" w:name="_GoBack"/>
            <w:bookmarkEnd w:id="0"/>
          </w:p>
        </w:tc>
        <w:tc>
          <w:tcPr>
            <w:tcW w:w="1077" w:type="pct"/>
          </w:tcPr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Прогноз поступлений арендной платы за имущество в бюджет рассчитывается по формуле: 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(ПН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- ОР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+ ОУ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апи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ОВ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 х Кд + ПСЗ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где: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ПН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ожидаемые поступления арендной платы за имущество;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ОР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объем поступлений, носящих разовый характер;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ОУ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объем увеличения поступлений арендной платы за имущество;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ОВ 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объем выбытия арендной платы за имущество;</w:t>
            </w:r>
          </w:p>
          <w:p>
            <w:pPr>
              <w:adjustRightInd w:val="0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Кд - коэффициент –дефлятор;</w:t>
            </w:r>
          </w:p>
          <w:p>
            <w:pPr>
              <w:adjustRightInd w:val="0"/>
              <w:spacing w:line="276" w:lineRule="auto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ПСЗ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апи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color w:val="404040" w:themeColor="text1" w:themeTint="BF"/>
                <w:sz w:val="22"/>
                <w:szCs w:val="22"/>
                <w:vertAlign w:val="superscript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прогнозируемая сумма поступлений задолженности прошлых лет.</w:t>
            </w:r>
          </w:p>
        </w:tc>
        <w:tc>
          <w:tcPr>
            <w:tcW w:w="234" w:type="pct"/>
          </w:tcPr>
          <w:p>
            <w:pP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  <w:vAlign w:val="top"/>
          </w:tcPr>
          <w:p>
            <w:pPr>
              <w:pStyle w:val="26"/>
              <w:shd w:val="clear" w:color="auto" w:fill="auto"/>
              <w:spacing w:after="0" w:line="240" w:lineRule="auto"/>
              <w:ind w:left="0" w:leftChars="0" w:firstLine="0" w:firstLineChars="0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/>
                <w:color w:val="404040" w:themeColor="text1" w:themeTint="BF"/>
                <w:sz w:val="22"/>
                <w:szCs w:val="22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рогноз объема поступлений</w:t>
            </w:r>
            <w:r>
              <w:rPr>
                <w:rFonts w:hint="default"/>
                <w:color w:val="404040" w:themeColor="text1" w:themeTint="BF"/>
                <w:sz w:val="22"/>
                <w:szCs w:val="22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на 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плановый период принимается равным прогнозу объема данных поступлений на очередной фи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      </w:r>
          </w:p>
          <w:p>
            <w:pPr>
              <w:widowControl w:val="0"/>
              <w:ind w:firstLine="111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11607090100000140 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11610032100000140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11610061100000140</w:t>
            </w:r>
          </w:p>
        </w:tc>
        <w:tc>
          <w:tcPr>
            <w:tcW w:w="738" w:type="pct"/>
          </w:tcPr>
          <w:p>
            <w:pPr>
              <w:adjustRightInd w:val="0"/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11610062100000140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spacing w:after="5"/>
              <w:ind w:right="7" w:hanging="22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7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11610081100000140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rFonts w:hint="default"/>
                <w:color w:val="404040" w:themeColor="text1" w:themeTint="BF"/>
                <w:sz w:val="22"/>
                <w:szCs w:val="22"/>
                <w:vertAlign w:val="subscript"/>
                <w:lang w:val="ru-RU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11610082100000140</w:t>
            </w:r>
          </w:p>
        </w:tc>
        <w:tc>
          <w:tcPr>
            <w:tcW w:w="738" w:type="pct"/>
          </w:tcPr>
          <w:p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11610100100000140</w:t>
            </w:r>
          </w:p>
        </w:tc>
        <w:tc>
          <w:tcPr>
            <w:tcW w:w="738" w:type="pct"/>
          </w:tcPr>
          <w:p>
            <w:pPr>
              <w:jc w:val="both"/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прямого расчета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рассчитыва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ется как сумма прогноза поступлений административных штрафов по каждой статье КоАП РФ по следующей формуле: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= ƩД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 - прогноз объема поступлений административных штрафов;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прогноз поступлений административных штрафов по соответству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= К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х </w:t>
            </w: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где: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- статья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— минимальный размер административного штрафа по соответствую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щей статье КоАП РФ;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 прогнозируемое количество административных правонарушений по соответствующей статье КоАП РФ.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val="en-US"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</w:t>
            </w:r>
            <w:r>
              <w:rPr>
                <w:color w:val="404040" w:themeColor="text1" w:themeTint="BF"/>
                <w:sz w:val="22"/>
                <w:szCs w:val="22"/>
                <w:vertAlign w:val="subscript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определяется на основании учетных данных по делам об административных правонарушениях за три года, предшествующих планируемому году или за весь период закрепления в КоАП РФ соответствующего административного правонарушения в случае, если этот период не превышает три года.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 объема поступлений административных штрафов на плановый период принимается равным прогнозу объема данных поступлений на очеред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ной финансовый год.</w:t>
            </w:r>
          </w:p>
        </w:tc>
        <w:tc>
          <w:tcPr>
            <w:tcW w:w="234" w:type="pct"/>
          </w:tcPr>
          <w:p>
            <w:pPr>
              <w:spacing w:after="5"/>
              <w:ind w:right="7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основании количества административных правонарушений в разрезе статьей Кодекса Российской Федерации об административных правонарушениях (далее - КоАП РФ) и размеров административных штрафов за совершение административных правонарушений.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20216001100000150</w:t>
            </w:r>
          </w:p>
        </w:tc>
        <w:tc>
          <w:tcPr>
            <w:tcW w:w="738" w:type="pct"/>
          </w:tcPr>
          <w:p>
            <w:pPr>
              <w:ind w:right="-2"/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Дотация бюджетам сельских поселений на выравнивание бюджетной обеспеченности из бюджетов муниципальных районов;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усреднения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34" w:type="pct"/>
          </w:tcPr>
          <w:p>
            <w:pPr>
              <w:spacing w:after="5"/>
              <w:ind w:right="7" w:firstLine="120"/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ind w:right="-2"/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соответствии с результатами распределения дотаций и ИМБТ на выравнивание бюджетной обеспеченности между 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мыми законом Хабаровского края о краевом бюджете на очередной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период.</w:t>
            </w:r>
          </w:p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уровне текущего финансового года (при отсутствии информации о результатах распределения дотаций, субсидий, субвенций и ИМБТ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мыми законом Хабаровского края о краевом бюджете на текущий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20235118100000150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усреднения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соответствии с результатами 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мыми законом Хабаровского края о краевом бюджете на очередной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период;</w:t>
            </w:r>
          </w:p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уровне текущего финансового года в соответствии с законом Хабаровского края о краевом бюджете на текущий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12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  <w:shd w:val="clear" w:color="auto" w:fill="FFFFFF" w:themeFill="background1"/>
          </w:tcPr>
          <w:p>
            <w:pPr>
              <w:jc w:val="both"/>
              <w:rPr>
                <w:bCs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Cs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20235930100000150</w:t>
            </w:r>
          </w:p>
        </w:tc>
        <w:tc>
          <w:tcPr>
            <w:tcW w:w="738" w:type="pct"/>
          </w:tcPr>
          <w:p>
            <w:pPr>
              <w:ind w:right="-2" w:firstLine="51"/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усреднения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соответствии с результатами 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мыми законом Хабаровского края о краевом бюджете на очередной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период;</w:t>
            </w:r>
          </w:p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уровне текущего финансового года в соответствии с законом Хабаровского края о краевом бюджете на текущий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13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  <w:shd w:val="clear" w:color="auto" w:fill="FFFFFF" w:themeFill="background1"/>
          </w:tcPr>
          <w:p>
            <w:pPr>
              <w:jc w:val="both"/>
              <w:rPr>
                <w:bCs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2024999910 0000 150</w:t>
            </w:r>
          </w:p>
        </w:tc>
        <w:tc>
          <w:tcPr>
            <w:tcW w:w="738" w:type="pct"/>
          </w:tcPr>
          <w:p>
            <w:pPr>
              <w:ind w:left="51" w:right="-2" w:hanging="68"/>
              <w:jc w:val="both"/>
              <w:rPr>
                <w:color w:val="404040" w:themeColor="text1" w:themeTint="BF"/>
                <w:sz w:val="22"/>
                <w:szCs w:val="22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П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рочие межбюджетные трансферты, передаваемые бюджетам сельских поселений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Метод усреднения</w:t>
            </w: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соответствии с результатами распределения субвенций, МБТ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мыми законом Хабаровского края о краевом бюджете на очередной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период;</w:t>
            </w:r>
          </w:p>
          <w:p>
            <w:pPr>
              <w:pStyle w:val="20"/>
              <w:jc w:val="both"/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уровне текущего финансового года в соответствии с законом Хабаровского края о краевом бюджете на текущий финансо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softHyphen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вый год и плановый период (при отсутствии информации о результатах распределения субвенций, МБТ между муниципальными образованиями Хабаровского края на планируемый период).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14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11701050100000180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</w:t>
            </w: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евыясненные поступления, зачисляемые в бюджеты сельских поселений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Прогнозирование объема поступлений не осуществляется в связи с тем, что на данный код бюджетной классификации подлежат зачислению суммы по расчетным документам, 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которых отсутствует информация (либо недостаточно информации), позволяющей классифицировать поступления и отнести их к иным источникам дохода, перечень которых закреплен за администрацией Согдинского сельского поселения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ind w:left="209" w:hanging="209"/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15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11716000010000180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Прогнозирование объема поступлений не осуществляется в связи с тем, что на данный код бюджетной классификации подлежат зачислению суммы по расчетным документам, </w:t>
            </w:r>
          </w:p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которых отсутствует информация (либо недостаточно информации), позволяющей классифицировать поступления и отнести их к иным источникам дохода, перечень которых закреплен за администрацией Согдинского сельского поселения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16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11715030100000150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Инициативные платежи, зачисляемые в бюджеты сельских поселений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rFonts w:hint="default" w:ascii="Times New Roman" w:hAnsi="Times New Roman" w:cs="Times New Roman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17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20705030100000150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:lang w:eastAsia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Style w:val="40"/>
                <w:vanish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безвозмездные поступления в бюджеты сельских поселений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18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20801000010000150</w:t>
            </w:r>
          </w:p>
        </w:tc>
        <w:tc>
          <w:tcPr>
            <w:tcW w:w="738" w:type="pct"/>
          </w:tcPr>
          <w:p>
            <w:pPr>
              <w:pStyle w:val="20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19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21860010010000150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2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</w:t>
            </w:r>
          </w:p>
        </w:tc>
        <w:tc>
          <w:tcPr>
            <w:tcW w:w="269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5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Администрация Согдинского сельского поселения Верхебуреинского муниципального района Хабаровского края</w:t>
            </w:r>
          </w:p>
        </w:tc>
        <w:tc>
          <w:tcPr>
            <w:tcW w:w="54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21960010010000150</w:t>
            </w:r>
          </w:p>
        </w:tc>
        <w:tc>
          <w:tcPr>
            <w:tcW w:w="738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Прогнозирование объема поступлений на этапе формирования проекта бюджета сельского поселения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</w:t>
            </w:r>
          </w:p>
        </w:tc>
        <w:tc>
          <w:tcPr>
            <w:tcW w:w="234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07" w:type="pct"/>
          </w:tcPr>
          <w:p>
            <w:pPr>
              <w:jc w:val="both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sz w:val="22"/>
          <w:szCs w:val="22"/>
        </w:rPr>
      </w:pPr>
    </w:p>
    <w:p/>
    <w:p>
      <w:r>
        <w:tab/>
      </w:r>
      <w:r>
        <w:tab/>
      </w:r>
      <w:r>
        <w:t>________________________________________________________________________________________________</w:t>
      </w:r>
    </w:p>
    <w:p/>
    <w:p/>
    <w:p>
      <w:pPr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sectPr>
      <w:pgSz w:w="16838" w:h="11906" w:orient="landscape"/>
      <w:pgMar w:top="567" w:right="1134" w:bottom="1985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10">
    <w:p>
      <w:r>
        <w:separator/>
      </w:r>
    </w:p>
  </w:endnote>
  <w:endnote w:type="continuationSeparator" w:id="11">
    <w:p>
      <w:r>
        <w:continuationSeparator/>
      </w:r>
    </w:p>
  </w:endnote>
  <w:endnote w:id="0">
    <w:p>
      <w:pPr>
        <w:pStyle w:val="10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Style w:val="7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Код бюджетной классификации доходов без пробелов и кода главы главного администратора доходов бюджета.</w:t>
      </w:r>
    </w:p>
  </w:endnote>
  <w:endnote w:id="1">
    <w:p>
      <w:pPr>
        <w:pStyle w:val="1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Style w:val="7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Характеристика метода расчета прогнозного объема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№ 574 «Об общих требованиях к методике прогнозирования поступлений доходов в бюджеты бюджетной системы Российской Федерации»).</w:t>
      </w:r>
    </w:p>
  </w:endnote>
  <w:endnote w:id="2">
    <w:p>
      <w:pPr>
        <w:pStyle w:val="10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Style w:val="7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Формула расчета прогнозируемого объема поступлений (при наличии).</w:t>
      </w:r>
    </w:p>
  </w:endnote>
  <w:endnote w:id="3">
    <w:p>
      <w:pPr>
        <w:pStyle w:val="1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Style w:val="7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Описание фактического алгоритма расчета прогнозируемого объема поступлений (обязательно – в случае отсутствия формулы расчета, по решению главного администратора доходов – в случае наличия формулы расчета).</w:t>
      </w:r>
    </w:p>
  </w:endnote>
  <w:endnote w:id="4">
    <w:p>
      <w:pPr>
        <w:pStyle w:val="1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Style w:val="7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</w: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>
      <w:pPr>
        <w:pStyle w:val="1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C17B49"/>
    <w:multiLevelType w:val="multilevel"/>
    <w:tmpl w:val="A6C17B49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F111568D"/>
    <w:multiLevelType w:val="singleLevel"/>
    <w:tmpl w:val="F111568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endnotePr>
    <w:endnote w:id="10"/>
    <w:endnote w:id="1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E0"/>
    <w:rsid w:val="00005EC4"/>
    <w:rsid w:val="00046062"/>
    <w:rsid w:val="000539ED"/>
    <w:rsid w:val="00056236"/>
    <w:rsid w:val="00077811"/>
    <w:rsid w:val="000A2A5C"/>
    <w:rsid w:val="000B7665"/>
    <w:rsid w:val="000D5012"/>
    <w:rsid w:val="000E41D7"/>
    <w:rsid w:val="000F1439"/>
    <w:rsid w:val="00161287"/>
    <w:rsid w:val="001711C7"/>
    <w:rsid w:val="0017650D"/>
    <w:rsid w:val="00187092"/>
    <w:rsid w:val="0019015D"/>
    <w:rsid w:val="001A6CAE"/>
    <w:rsid w:val="001B72CB"/>
    <w:rsid w:val="001C06BA"/>
    <w:rsid w:val="001D5D5F"/>
    <w:rsid w:val="00217216"/>
    <w:rsid w:val="0023763E"/>
    <w:rsid w:val="00262E7C"/>
    <w:rsid w:val="00265F05"/>
    <w:rsid w:val="00272225"/>
    <w:rsid w:val="002727F9"/>
    <w:rsid w:val="0028370B"/>
    <w:rsid w:val="002A0B29"/>
    <w:rsid w:val="002B4278"/>
    <w:rsid w:val="002C7F54"/>
    <w:rsid w:val="00304482"/>
    <w:rsid w:val="003258E3"/>
    <w:rsid w:val="0033294A"/>
    <w:rsid w:val="00334A01"/>
    <w:rsid w:val="003772ED"/>
    <w:rsid w:val="00385ABC"/>
    <w:rsid w:val="00394E60"/>
    <w:rsid w:val="003B795A"/>
    <w:rsid w:val="003C1A20"/>
    <w:rsid w:val="003C447D"/>
    <w:rsid w:val="003E264D"/>
    <w:rsid w:val="003F6656"/>
    <w:rsid w:val="00422F63"/>
    <w:rsid w:val="0044434C"/>
    <w:rsid w:val="00447120"/>
    <w:rsid w:val="004547B2"/>
    <w:rsid w:val="00455025"/>
    <w:rsid w:val="00461DFA"/>
    <w:rsid w:val="0047436B"/>
    <w:rsid w:val="004A19C2"/>
    <w:rsid w:val="004A7D62"/>
    <w:rsid w:val="004B6702"/>
    <w:rsid w:val="004C1A83"/>
    <w:rsid w:val="004E7E93"/>
    <w:rsid w:val="004F3BD5"/>
    <w:rsid w:val="0055087E"/>
    <w:rsid w:val="00560504"/>
    <w:rsid w:val="00581341"/>
    <w:rsid w:val="0058485F"/>
    <w:rsid w:val="005A2CC2"/>
    <w:rsid w:val="005C4D51"/>
    <w:rsid w:val="005C70C5"/>
    <w:rsid w:val="005E0C04"/>
    <w:rsid w:val="005F2C1F"/>
    <w:rsid w:val="00613719"/>
    <w:rsid w:val="00614CBD"/>
    <w:rsid w:val="00617A51"/>
    <w:rsid w:val="00624459"/>
    <w:rsid w:val="0064246D"/>
    <w:rsid w:val="00653C10"/>
    <w:rsid w:val="00657F42"/>
    <w:rsid w:val="006626AA"/>
    <w:rsid w:val="0066495A"/>
    <w:rsid w:val="006B434E"/>
    <w:rsid w:val="006C055C"/>
    <w:rsid w:val="006D022D"/>
    <w:rsid w:val="006D71D8"/>
    <w:rsid w:val="006E6587"/>
    <w:rsid w:val="00714D98"/>
    <w:rsid w:val="007175F6"/>
    <w:rsid w:val="00747DC2"/>
    <w:rsid w:val="007527A9"/>
    <w:rsid w:val="00760A80"/>
    <w:rsid w:val="00762DAA"/>
    <w:rsid w:val="00796A53"/>
    <w:rsid w:val="007A45ED"/>
    <w:rsid w:val="007B2174"/>
    <w:rsid w:val="007C4386"/>
    <w:rsid w:val="007C5B2F"/>
    <w:rsid w:val="007E12AC"/>
    <w:rsid w:val="00801266"/>
    <w:rsid w:val="00824870"/>
    <w:rsid w:val="00842299"/>
    <w:rsid w:val="0084288D"/>
    <w:rsid w:val="0085270E"/>
    <w:rsid w:val="0088267F"/>
    <w:rsid w:val="008A67CF"/>
    <w:rsid w:val="008A788A"/>
    <w:rsid w:val="008C39E3"/>
    <w:rsid w:val="008C626A"/>
    <w:rsid w:val="008E20EE"/>
    <w:rsid w:val="008E315D"/>
    <w:rsid w:val="008F3321"/>
    <w:rsid w:val="008F6B78"/>
    <w:rsid w:val="00910C31"/>
    <w:rsid w:val="0092058F"/>
    <w:rsid w:val="00923AE0"/>
    <w:rsid w:val="009301A0"/>
    <w:rsid w:val="00976656"/>
    <w:rsid w:val="009A0377"/>
    <w:rsid w:val="009A115E"/>
    <w:rsid w:val="009A31B4"/>
    <w:rsid w:val="00A20B59"/>
    <w:rsid w:val="00A31CE5"/>
    <w:rsid w:val="00A43BCE"/>
    <w:rsid w:val="00A53CD5"/>
    <w:rsid w:val="00A7027F"/>
    <w:rsid w:val="00A90760"/>
    <w:rsid w:val="00AA22BB"/>
    <w:rsid w:val="00AB1C44"/>
    <w:rsid w:val="00AE05CC"/>
    <w:rsid w:val="00AE7467"/>
    <w:rsid w:val="00AF66C3"/>
    <w:rsid w:val="00B250FC"/>
    <w:rsid w:val="00B31D94"/>
    <w:rsid w:val="00B325CB"/>
    <w:rsid w:val="00B3606A"/>
    <w:rsid w:val="00B47106"/>
    <w:rsid w:val="00B518BF"/>
    <w:rsid w:val="00B527E6"/>
    <w:rsid w:val="00B65C06"/>
    <w:rsid w:val="00B77684"/>
    <w:rsid w:val="00B83021"/>
    <w:rsid w:val="00B846E3"/>
    <w:rsid w:val="00B9481B"/>
    <w:rsid w:val="00BF2FEC"/>
    <w:rsid w:val="00C47BAA"/>
    <w:rsid w:val="00C50966"/>
    <w:rsid w:val="00C545E1"/>
    <w:rsid w:val="00C54B65"/>
    <w:rsid w:val="00C60693"/>
    <w:rsid w:val="00C61EB4"/>
    <w:rsid w:val="00C6430C"/>
    <w:rsid w:val="00C80744"/>
    <w:rsid w:val="00C9460E"/>
    <w:rsid w:val="00CB1D35"/>
    <w:rsid w:val="00CB54AB"/>
    <w:rsid w:val="00CE6C69"/>
    <w:rsid w:val="00CF0CDB"/>
    <w:rsid w:val="00CF37DC"/>
    <w:rsid w:val="00CF4A4E"/>
    <w:rsid w:val="00D31B5D"/>
    <w:rsid w:val="00D3321B"/>
    <w:rsid w:val="00D3590E"/>
    <w:rsid w:val="00D6276E"/>
    <w:rsid w:val="00D94338"/>
    <w:rsid w:val="00D95C91"/>
    <w:rsid w:val="00DD0490"/>
    <w:rsid w:val="00DE5637"/>
    <w:rsid w:val="00DF51B5"/>
    <w:rsid w:val="00E0184A"/>
    <w:rsid w:val="00EB30C9"/>
    <w:rsid w:val="00EB4E7A"/>
    <w:rsid w:val="00EB6B74"/>
    <w:rsid w:val="00EC14FF"/>
    <w:rsid w:val="00EC4713"/>
    <w:rsid w:val="00F01E40"/>
    <w:rsid w:val="00F31CC8"/>
    <w:rsid w:val="00F33F5D"/>
    <w:rsid w:val="00F56767"/>
    <w:rsid w:val="00F87B51"/>
    <w:rsid w:val="00F9172B"/>
    <w:rsid w:val="00F945A0"/>
    <w:rsid w:val="00F96BBD"/>
    <w:rsid w:val="00FA538F"/>
    <w:rsid w:val="00FB3303"/>
    <w:rsid w:val="00FB4D7A"/>
    <w:rsid w:val="00FC6579"/>
    <w:rsid w:val="00FE61B4"/>
    <w:rsid w:val="00FF5AE7"/>
    <w:rsid w:val="05D141D5"/>
    <w:rsid w:val="09A90082"/>
    <w:rsid w:val="149312E4"/>
    <w:rsid w:val="24233DA9"/>
    <w:rsid w:val="2B2D55CF"/>
    <w:rsid w:val="3A4A2B2F"/>
    <w:rsid w:val="3AD661A5"/>
    <w:rsid w:val="46441902"/>
    <w:rsid w:val="5CA53CC9"/>
    <w:rsid w:val="5EA26D48"/>
    <w:rsid w:val="62AC1F28"/>
    <w:rsid w:val="6B3950CB"/>
    <w:rsid w:val="6F705E79"/>
    <w:rsid w:val="7FC2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nhideWhenUsed="0" w:uiPriority="99" w:name="endnote reference"/>
    <w:lsdException w:qFormat="1" w:unhideWhenUsed="0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2"/>
    <w:basedOn w:val="1"/>
    <w:next w:val="1"/>
    <w:link w:val="3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6">
    <w:name w:val="annotation reference"/>
    <w:basedOn w:val="3"/>
    <w:semiHidden/>
    <w:unhideWhenUsed/>
    <w:qFormat/>
    <w:uiPriority w:val="99"/>
    <w:rPr>
      <w:sz w:val="16"/>
      <w:szCs w:val="16"/>
    </w:rPr>
  </w:style>
  <w:style w:type="character" w:styleId="7">
    <w:name w:val="endnote reference"/>
    <w:basedOn w:val="3"/>
    <w:semiHidden/>
    <w:qFormat/>
    <w:uiPriority w:val="99"/>
    <w:rPr>
      <w:rFonts w:cs="Times New Roman"/>
      <w:vertAlign w:val="superscript"/>
    </w:rPr>
  </w:style>
  <w:style w:type="character" w:styleId="8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9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endnote text"/>
    <w:basedOn w:val="1"/>
    <w:link w:val="39"/>
    <w:semiHidden/>
    <w:qFormat/>
    <w:uiPriority w:val="99"/>
    <w:pPr>
      <w:autoSpaceDE w:val="0"/>
      <w:autoSpaceDN w:val="0"/>
    </w:pPr>
    <w:rPr>
      <w:sz w:val="20"/>
      <w:szCs w:val="20"/>
    </w:rPr>
  </w:style>
  <w:style w:type="paragraph" w:styleId="11">
    <w:name w:val="annotation text"/>
    <w:basedOn w:val="1"/>
    <w:link w:val="35"/>
    <w:semiHidden/>
    <w:unhideWhenUsed/>
    <w:qFormat/>
    <w:uiPriority w:val="99"/>
    <w:rPr>
      <w:sz w:val="20"/>
      <w:szCs w:val="20"/>
    </w:rPr>
  </w:style>
  <w:style w:type="paragraph" w:styleId="12">
    <w:name w:val="annotation subject"/>
    <w:basedOn w:val="11"/>
    <w:next w:val="11"/>
    <w:link w:val="41"/>
    <w:semiHidden/>
    <w:unhideWhenUsed/>
    <w:qFormat/>
    <w:uiPriority w:val="99"/>
    <w:rPr>
      <w:b/>
      <w:bCs/>
    </w:rPr>
  </w:style>
  <w:style w:type="paragraph" w:styleId="13">
    <w:name w:val="footnote text"/>
    <w:basedOn w:val="1"/>
    <w:link w:val="30"/>
    <w:semiHidden/>
    <w:unhideWhenUsed/>
    <w:qFormat/>
    <w:uiPriority w:val="99"/>
    <w:rPr>
      <w:sz w:val="20"/>
      <w:szCs w:val="20"/>
    </w:rPr>
  </w:style>
  <w:style w:type="paragraph" w:styleId="14">
    <w:name w:val="header"/>
    <w:basedOn w:val="1"/>
    <w:link w:val="23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5">
    <w:name w:val="Body Text"/>
    <w:basedOn w:val="1"/>
    <w:link w:val="27"/>
    <w:semiHidden/>
    <w:qFormat/>
    <w:uiPriority w:val="0"/>
    <w:rPr>
      <w:sz w:val="28"/>
    </w:rPr>
  </w:style>
  <w:style w:type="paragraph" w:styleId="16">
    <w:name w:val="footer"/>
    <w:basedOn w:val="1"/>
    <w:link w:val="24"/>
    <w:semiHidden/>
    <w:unhideWhenUsed/>
    <w:qFormat/>
    <w:uiPriority w:val="99"/>
    <w:pPr>
      <w:tabs>
        <w:tab w:val="center" w:pos="4677"/>
        <w:tab w:val="right" w:pos="9355"/>
      </w:tabs>
    </w:pPr>
  </w:style>
  <w:style w:type="table" w:styleId="17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1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20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21">
    <w:name w:val="Текст выноски Знак"/>
    <w:basedOn w:val="3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2">
    <w:name w:val="apple-converted-space"/>
    <w:basedOn w:val="3"/>
    <w:qFormat/>
    <w:uiPriority w:val="0"/>
  </w:style>
  <w:style w:type="character" w:customStyle="1" w:styleId="23">
    <w:name w:val="Верхний колонтитул Знак"/>
    <w:basedOn w:val="3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Нижний колонтитул Знак"/>
    <w:basedOn w:val="3"/>
    <w:link w:val="16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Основной текст (2)_"/>
    <w:basedOn w:val="3"/>
    <w:link w:val="26"/>
    <w:qFormat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1"/>
    <w:link w:val="25"/>
    <w:qFormat/>
    <w:uiPriority w:val="0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character" w:customStyle="1" w:styleId="27">
    <w:name w:val="Основной текст Знак"/>
    <w:basedOn w:val="3"/>
    <w:link w:val="15"/>
    <w:semiHidden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8">
    <w:name w:val="Основной текст (2) Exact"/>
    <w:basedOn w:val="3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29">
    <w:name w:val="Основной текст (2) + 9 pt"/>
    <w:basedOn w:val="2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30">
    <w:name w:val="Текст сноски Знак"/>
    <w:basedOn w:val="3"/>
    <w:link w:val="13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1">
    <w:name w:val="Основной текст (6)"/>
    <w:basedOn w:val="3"/>
    <w:qFormat/>
    <w:uiPriority w:val="0"/>
    <w:rPr>
      <w:rFonts w:ascii="Times New Roman" w:hAnsi="Times New Roman" w:eastAsia="Times New Roman" w:cs="Times New Roman"/>
      <w:b/>
      <w:bCs/>
      <w:sz w:val="18"/>
      <w:szCs w:val="18"/>
      <w:u w:val="none"/>
    </w:rPr>
  </w:style>
  <w:style w:type="paragraph" w:customStyle="1" w:styleId="32">
    <w:name w:val="Абзац списка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2"/>
    </w:rPr>
  </w:style>
  <w:style w:type="character" w:customStyle="1" w:styleId="33">
    <w:name w:val="Заголовок №1 + Интервал 1 pt"/>
    <w:basedOn w:val="3"/>
    <w:qFormat/>
    <w:uiPriority w:val="0"/>
    <w:rPr>
      <w:rFonts w:ascii="Times New Roman" w:hAnsi="Times New Roman" w:eastAsia="Times New Roman" w:cs="Times New Roman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4">
    <w:name w:val="Абзац списка2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2"/>
    </w:rPr>
  </w:style>
  <w:style w:type="character" w:customStyle="1" w:styleId="35">
    <w:name w:val="Текст примечания Знак"/>
    <w:basedOn w:val="3"/>
    <w:link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6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37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customStyle="1" w:styleId="38">
    <w:name w:val="Заголовок 2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39">
    <w:name w:val="Текст концевой сноски Знак"/>
    <w:basedOn w:val="3"/>
    <w:link w:val="10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0">
    <w:name w:val="blk1"/>
    <w:qFormat/>
    <w:uiPriority w:val="0"/>
  </w:style>
  <w:style w:type="character" w:customStyle="1" w:styleId="41">
    <w:name w:val="Тема примечания Знак"/>
    <w:basedOn w:val="35"/>
    <w:link w:val="1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AFD7C-892E-4F83-8B2D-3968DD7881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28</Pages>
  <Words>7044</Words>
  <Characters>40153</Characters>
  <Lines>334</Lines>
  <Paragraphs>94</Paragraphs>
  <TotalTime>8</TotalTime>
  <ScaleCrop>false</ScaleCrop>
  <LinksUpToDate>false</LinksUpToDate>
  <CharactersWithSpaces>47103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2021-11-12T04:17:00Z</dcterms:created>
  <dc:creator>BEST</dc:creator>
  <cp:lastModifiedBy>nastr</cp:lastModifiedBy>
  <cp:lastPrinted>2022-12-16T04:10:11Z</cp:lastPrinted>
  <dcterms:modified xsi:type="dcterms:W3CDTF">2022-12-16T04:10:43Z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73CDA707A0AC4DC0B888BF5705F55E8B</vt:lpwstr>
  </property>
</Properties>
</file>