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5"/>
        <w:spacing w:before="0"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АДМИНИСТРАЦИЯ</w:t>
      </w:r>
    </w:p>
    <w:p>
      <w:pPr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СОГДИНСКОГО СЕЛЬСКОГО ПОСЕЛЕНИЯ</w:t>
      </w:r>
    </w:p>
    <w:p>
      <w:pPr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ВЕРХНЕБУРЕИНСКОГО МУНИЦИПАЛЬНОГО РАЙОНА</w:t>
      </w:r>
    </w:p>
    <w:p>
      <w:pPr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Хабаровского края</w:t>
      </w:r>
    </w:p>
    <w:p>
      <w:pPr>
        <w:jc w:val="center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ПОСТАНОВЛЕНИЕ</w:t>
      </w:r>
    </w:p>
    <w:tbl>
      <w:tblPr>
        <w:tblStyle w:val="7"/>
        <w:tblpPr w:leftFromText="180" w:rightFromText="180" w:vertAnchor="text" w:horzAnchor="margin" w:tblpY="1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8"/>
                <w:szCs w:val="28"/>
                <w:u w:val="single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14.11.2021 № 39</w:t>
            </w:r>
          </w:p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с. Согда</w:t>
            </w:r>
          </w:p>
        </w:tc>
      </w:tr>
    </w:tbl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tbl>
      <w:tblPr>
        <w:tblStyle w:val="7"/>
        <w:tblpPr w:leftFromText="180" w:rightFromText="180" w:vertAnchor="text" w:horzAnchor="margin" w:tblpY="103"/>
        <w:tblW w:w="40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Об администрировании доходов</w:t>
            </w:r>
          </w:p>
        </w:tc>
      </w:tr>
    </w:tbl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10"/>
        <w:ind w:firstLine="360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10"/>
        <w:ind w:firstLine="360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В соответствии со ст. 160.1 Бюджетного кодекса Российской Федерации администрация Согдинского сельского поселения </w:t>
      </w:r>
    </w:p>
    <w:p>
      <w:pPr>
        <w:pStyle w:val="10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ПОСТАНОВЛЯЕТ:</w:t>
      </w:r>
    </w:p>
    <w:p>
      <w:pPr>
        <w:pStyle w:val="16"/>
        <w:widowControl/>
        <w:ind w:firstLine="567"/>
        <w:jc w:val="both"/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1. Наделить функциями Администратора доходов бюджета и закрепить за администрацией Согдинского сельского поселения Верхнебуреинского муниципального района Хабаровского края Перечень главного администратора доходов, закрепленных бюджетной классификацией за администратором поступлений бюджета Согдинского </w:t>
      </w: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сельского поселения Верхнебуреинского муниципального района</w:t>
      </w:r>
      <w:r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Хабаровского края, согласно Приложению № 1 к настоящему постановлению. 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2. Утвердить Порядок исполнения функций Администратора доходов бюджета по администрированию поступлений в бюджет (далее - Порядок), согласно Приложению № 2 к настоящему постановлению.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3. Признать утратившим силу постановление администрации Согдинского сельского поселения от 01.11.2020 г. № 28 «Об администрировании доходов».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4. Контроль за исполнением настоящего постановления оставляю за собой.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5. Настоящее постановление вступает в силу после его официального опубликования (обнародования).</w:t>
      </w:r>
    </w:p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Глава сельского поселения              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                 Е.М. Репина</w:t>
      </w:r>
    </w:p>
    <w:p>
      <w:pPr>
        <w:rPr>
          <w:rFonts w:ascii="Cambria" w:hAnsi="Cambria" w:cs="Cambria"/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Приложение № 1</w:t>
      </w: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постановлению администрации</w:t>
      </w:r>
    </w:p>
    <w:p>
      <w:pPr>
        <w:spacing w:line="240" w:lineRule="exact"/>
        <w:jc w:val="right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Согдинского сельского поселения</w:t>
      </w:r>
    </w:p>
    <w:p>
      <w:pPr>
        <w:spacing w:line="240" w:lineRule="exact"/>
        <w:jc w:val="right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от 14.11.2021 № 39</w:t>
      </w:r>
    </w:p>
    <w:p>
      <w:pPr>
        <w:ind w:right="-81"/>
        <w:jc w:val="right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center"/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Перечень</w:t>
      </w:r>
      <w:r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</w:p>
    <w:p>
      <w:pPr>
        <w:pStyle w:val="3"/>
        <w:spacing w:before="0" w:line="240" w:lineRule="exact"/>
        <w:jc w:val="center"/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главного администратора доходов бюджета сельского поселения, </w:t>
      </w:r>
    </w:p>
    <w:p>
      <w:pPr>
        <w:pStyle w:val="3"/>
        <w:spacing w:before="0" w:line="240" w:lineRule="exact"/>
        <w:jc w:val="center"/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закрепляемые за ним виды (подвиды) доходов бюджета </w:t>
      </w:r>
    </w:p>
    <w:p>
      <w:pPr>
        <w:pStyle w:val="3"/>
        <w:spacing w:before="0" w:line="240" w:lineRule="exact"/>
        <w:jc w:val="center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Согдинского </w:t>
      </w: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сельского поселения </w:t>
      </w:r>
    </w:p>
    <w:p>
      <w:pPr>
        <w:pStyle w:val="3"/>
        <w:spacing w:before="0" w:line="240" w:lineRule="exact"/>
        <w:jc w:val="center"/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Верхнебуреинского муниципального района</w:t>
      </w:r>
      <w:r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</w:p>
    <w:p>
      <w:pPr>
        <w:pStyle w:val="3"/>
        <w:spacing w:before="0" w:line="240" w:lineRule="exact"/>
        <w:jc w:val="center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Хабаровского края</w:t>
      </w:r>
    </w:p>
    <w:p>
      <w:pPr>
        <w:jc w:val="center"/>
        <w:rPr>
          <w:color w:val="404040" w:themeColor="text1" w:themeTint="BF"/>
          <w:sz w:val="26"/>
          <w:szCs w:val="26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tbl>
      <w:tblPr>
        <w:tblStyle w:val="7"/>
        <w:tblW w:w="957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837"/>
        <w:gridCol w:w="54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079" w:type="dxa"/>
            <w:gridSpan w:val="2"/>
          </w:tcPr>
          <w:p>
            <w:pPr>
              <w:keepLines/>
              <w:suppressAutoHyphens/>
              <w:spacing w:line="276" w:lineRule="auto"/>
              <w:ind w:right="-108"/>
              <w:jc w:val="center"/>
              <w:rPr>
                <w:color w:val="404040" w:themeColor="text1" w:themeTint="BF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бюджетной классификации</w:t>
            </w:r>
          </w:p>
          <w:p>
            <w:pPr>
              <w:spacing w:line="276" w:lineRule="auto"/>
              <w:jc w:val="center"/>
              <w:rPr>
                <w:color w:val="404040" w:themeColor="text1" w:themeTint="BF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Российской Федерации</w:t>
            </w:r>
          </w:p>
        </w:tc>
        <w:tc>
          <w:tcPr>
            <w:tcW w:w="5491" w:type="dxa"/>
            <w:vMerge w:val="restart"/>
          </w:tcPr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keepNext/>
              <w:spacing w:line="276" w:lineRule="auto"/>
              <w:jc w:val="center"/>
              <w:outlineLvl w:val="0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главного администратора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242" w:type="dxa"/>
          </w:tcPr>
          <w:p>
            <w:pPr>
              <w:suppressAutoHyphens/>
              <w:spacing w:line="276" w:lineRule="auto"/>
              <w:jc w:val="center"/>
              <w:rPr>
                <w:color w:val="404040" w:themeColor="text1" w:themeTint="BF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главного</w:t>
            </w:r>
          </w:p>
          <w:p>
            <w:pPr>
              <w:spacing w:line="276" w:lineRule="auto"/>
              <w:jc w:val="center"/>
              <w:rPr>
                <w:color w:val="404040" w:themeColor="text1" w:themeTint="BF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администратора доходов</w:t>
            </w:r>
          </w:p>
        </w:tc>
        <w:tc>
          <w:tcPr>
            <w:tcW w:w="2837" w:type="dxa"/>
          </w:tcPr>
          <w:p>
            <w:pPr>
              <w:spacing w:line="276" w:lineRule="auto"/>
              <w:jc w:val="center"/>
              <w:rPr>
                <w:color w:val="404040" w:themeColor="text1" w:themeTint="BF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spacing w:line="276" w:lineRule="auto"/>
              <w:jc w:val="center"/>
              <w:rPr>
                <w:color w:val="404040" w:themeColor="text1" w:themeTint="BF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доходов бюджета</w:t>
            </w:r>
          </w:p>
        </w:tc>
        <w:tc>
          <w:tcPr>
            <w:tcW w:w="5491" w:type="dxa"/>
            <w:vMerge w:val="continue"/>
            <w:vAlign w:val="center"/>
          </w:tcPr>
          <w:p>
            <w:pP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uppressAutoHyphens/>
              <w:spacing w:line="276" w:lineRule="auto"/>
              <w:rPr>
                <w:b/>
                <w:bCs/>
                <w:color w:val="404040" w:themeColor="text1" w:themeTint="BF"/>
                <w:sz w:val="26"/>
                <w:szCs w:val="26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b/>
                <w:bCs/>
                <w:color w:val="404040" w:themeColor="text1" w:themeTint="BF"/>
                <w:sz w:val="26"/>
                <w:szCs w:val="26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837" w:type="dxa"/>
          </w:tcPr>
          <w:p>
            <w:pP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ИНН 2710001475</w:t>
            </w:r>
          </w:p>
          <w:p>
            <w:pP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КПП 271001001</w:t>
            </w:r>
          </w:p>
        </w:tc>
        <w:tc>
          <w:tcPr>
            <w:tcW w:w="5491" w:type="dxa"/>
          </w:tcPr>
          <w:p>
            <w:pPr>
              <w:spacing w:line="240" w:lineRule="exact"/>
              <w:jc w:val="both"/>
              <w:rPr>
                <w:b/>
                <w:bCs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b/>
                <w:bCs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1 08 04020 01 0000 110</w:t>
            </w:r>
          </w:p>
        </w:tc>
        <w:tc>
          <w:tcPr>
            <w:tcW w:w="5491" w:type="dxa"/>
          </w:tcPr>
          <w:p>
            <w:pPr>
              <w:spacing w:line="240" w:lineRule="exact"/>
              <w:jc w:val="both"/>
              <w:rPr>
                <w:snapToGrid w:val="0"/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highlight w:val="yellow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1 11 05035 10 0000 120</w:t>
            </w:r>
          </w:p>
        </w:tc>
        <w:tc>
          <w:tcPr>
            <w:tcW w:w="5491" w:type="dxa"/>
          </w:tcPr>
          <w:p>
            <w:pPr>
              <w:spacing w:line="240" w:lineRule="exact"/>
              <w:jc w:val="both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rPr>
                <w:bCs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bCs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1 16 07090  10 0000 140</w:t>
            </w:r>
          </w:p>
        </w:tc>
        <w:tc>
          <w:tcPr>
            <w:tcW w:w="5491" w:type="dxa"/>
          </w:tcPr>
          <w:p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snapToGrid w:val="0"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rPr>
                <w:bCs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bCs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1 16 10032 10 0000 140  </w:t>
            </w:r>
          </w:p>
        </w:tc>
        <w:tc>
          <w:tcPr>
            <w:tcW w:w="5491" w:type="dxa"/>
          </w:tcPr>
          <w:p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rPr>
                <w:bCs/>
                <w:color w:val="404040" w:themeColor="text1" w:themeTint="BF"/>
                <w:sz w:val="26"/>
                <w:szCs w:val="26"/>
                <w:shd w:val="clear" w:color="auto" w:fill="FFFFF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bCs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1 16 10100 10 0000 140</w:t>
            </w:r>
          </w:p>
        </w:tc>
        <w:tc>
          <w:tcPr>
            <w:tcW w:w="5491" w:type="dxa"/>
          </w:tcPr>
          <w:p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eastAsia="Calibri"/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rPr>
                <w:b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shd w:val="clear" w:color="auto" w:fill="FFFFF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1 16 10062 10 0000 140</w:t>
            </w:r>
          </w:p>
        </w:tc>
        <w:tc>
          <w:tcPr>
            <w:tcW w:w="5491" w:type="dxa"/>
          </w:tcPr>
          <w:p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rPr>
                <w:bCs/>
                <w:snapToGrid w:val="0"/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bCs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1 16 10061 10 0000 140</w:t>
            </w:r>
          </w:p>
        </w:tc>
        <w:tc>
          <w:tcPr>
            <w:tcW w:w="5491" w:type="dxa"/>
          </w:tcPr>
          <w:p>
            <w:pPr>
              <w:spacing w:line="240" w:lineRule="exact"/>
              <w:jc w:val="both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rPr>
                <w:bCs/>
                <w:snapToGrid w:val="0"/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bCs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1 16 10081 10 0000 140</w:t>
            </w:r>
          </w:p>
        </w:tc>
        <w:tc>
          <w:tcPr>
            <w:tcW w:w="5491" w:type="dxa"/>
          </w:tcPr>
          <w:p>
            <w:pPr>
              <w:spacing w:line="240" w:lineRule="exact"/>
              <w:jc w:val="both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before="100" w:after="100" w:line="305" w:lineRule="atLeast"/>
              <w:ind w:left="-2"/>
              <w:jc w:val="both"/>
              <w:rPr>
                <w:bCs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bCs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1 16 10082 10 0000 140</w:t>
            </w:r>
          </w:p>
        </w:tc>
        <w:tc>
          <w:tcPr>
            <w:tcW w:w="5491" w:type="dxa"/>
          </w:tcPr>
          <w:p>
            <w:pPr>
              <w:spacing w:line="240" w:lineRule="exact"/>
              <w:jc w:val="both"/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eastAsia="Calibri"/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highlight w:val="yellow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snapToGrid w:val="0"/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1 17 01050 10 0000 180</w:t>
            </w:r>
          </w:p>
        </w:tc>
        <w:tc>
          <w:tcPr>
            <w:tcW w:w="5491" w:type="dxa"/>
          </w:tcPr>
          <w:p>
            <w:pPr>
              <w:spacing w:line="240" w:lineRule="exact"/>
              <w:jc w:val="both"/>
              <w:rPr>
                <w:snapToGrid w:val="0"/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Невыясненные поступления, зачисляемые в бюджеты сельских 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jc w:val="both"/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default"/>
                <w:color w:val="404040" w:themeColor="text1" w:themeTint="BF"/>
                <w:sz w:val="26"/>
                <w:szCs w:val="26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17</w:t>
            </w:r>
            <w:r>
              <w:rPr>
                <w:rFonts w:hint="default"/>
                <w:color w:val="404040" w:themeColor="text1" w:themeTint="BF"/>
                <w:sz w:val="26"/>
                <w:szCs w:val="26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16000</w:t>
            </w:r>
            <w:r>
              <w:rPr>
                <w:rFonts w:hint="default"/>
                <w:color w:val="404040" w:themeColor="text1" w:themeTint="BF"/>
                <w:sz w:val="26"/>
                <w:szCs w:val="26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10 </w:t>
            </w: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0000</w:t>
            </w:r>
            <w:r>
              <w:rPr>
                <w:rFonts w:hint="default"/>
                <w:color w:val="404040" w:themeColor="text1" w:themeTint="BF"/>
                <w:sz w:val="26"/>
                <w:szCs w:val="26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180</w:t>
            </w:r>
          </w:p>
        </w:tc>
        <w:tc>
          <w:tcPr>
            <w:tcW w:w="5491" w:type="dxa"/>
          </w:tcPr>
          <w:p>
            <w:pPr>
              <w:spacing w:line="240" w:lineRule="exact"/>
              <w:jc w:val="both"/>
              <w:rPr>
                <w:color w:val="404040" w:themeColor="text1" w:themeTint="BF"/>
                <w:sz w:val="26"/>
                <w:szCs w:val="26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rPr>
                <w:color w:val="3F3F3F"/>
                <w:sz w:val="26"/>
                <w:szCs w:val="26"/>
                <w:lang w:eastAsia="en-US"/>
              </w:rPr>
            </w:pPr>
            <w:r>
              <w:rPr>
                <w:color w:val="3F3F3F"/>
                <w:sz w:val="26"/>
                <w:szCs w:val="26"/>
                <w:lang w:eastAsia="en-US"/>
              </w:rPr>
              <w:t>1 17 15030 10 0000 150</w:t>
            </w:r>
          </w:p>
        </w:tc>
        <w:tc>
          <w:tcPr>
            <w:tcW w:w="5491" w:type="dxa"/>
          </w:tcPr>
          <w:p>
            <w:pPr>
              <w:pStyle w:val="4"/>
              <w:spacing w:before="0" w:after="0" w:line="240" w:lineRule="exact"/>
              <w:jc w:val="both"/>
              <w:rPr>
                <w:b w:val="0"/>
                <w:bCs w:val="0"/>
                <w:color w:val="3F3F3F"/>
                <w:sz w:val="26"/>
                <w:szCs w:val="26"/>
                <w:lang w:eastAsia="en-US"/>
              </w:rPr>
            </w:pPr>
            <w:r>
              <w:rPr>
                <w:b w:val="0"/>
                <w:bCs w:val="0"/>
                <w:color w:val="3F3F3F"/>
                <w:sz w:val="26"/>
                <w:szCs w:val="26"/>
                <w:lang w:eastAsia="en-US"/>
              </w:rPr>
              <w:t>Инициативные платежи, зачисляемые в бюджеты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rPr>
                <w:color w:val="3F3F3F"/>
                <w:sz w:val="26"/>
                <w:szCs w:val="26"/>
                <w:lang w:eastAsia="en-US"/>
              </w:rPr>
            </w:pPr>
            <w:r>
              <w:rPr>
                <w:color w:val="3F3F3F"/>
                <w:sz w:val="26"/>
                <w:szCs w:val="26"/>
                <w:lang w:eastAsia="en-US"/>
              </w:rPr>
              <w:t>2 02 16001 10 0000 150</w:t>
            </w:r>
          </w:p>
        </w:tc>
        <w:tc>
          <w:tcPr>
            <w:tcW w:w="5491" w:type="dxa"/>
          </w:tcPr>
          <w:p>
            <w:pPr>
              <w:pStyle w:val="4"/>
              <w:spacing w:before="0" w:after="0" w:line="240" w:lineRule="exact"/>
              <w:jc w:val="both"/>
              <w:rPr>
                <w:bCs w:val="0"/>
                <w:i/>
                <w:color w:val="3F3F3F"/>
                <w:sz w:val="26"/>
                <w:szCs w:val="26"/>
                <w:lang w:eastAsia="en-US"/>
              </w:rPr>
            </w:pPr>
            <w:r>
              <w:rPr>
                <w:rStyle w:val="21"/>
                <w:b w:val="0"/>
                <w:bCs w:val="0"/>
                <w:i w:val="0"/>
                <w:color w:val="3F3F3F"/>
                <w:sz w:val="26"/>
                <w:szCs w:val="26"/>
              </w:rPr>
              <w:t>Дотации бюджетам сельских поселений на выравнивание</w:t>
            </w:r>
            <w:r>
              <w:rPr>
                <w:rStyle w:val="21"/>
                <w:rFonts w:hint="default"/>
                <w:b w:val="0"/>
                <w:bCs w:val="0"/>
                <w:i w:val="0"/>
                <w:color w:val="3F3F3F"/>
                <w:sz w:val="26"/>
                <w:szCs w:val="26"/>
                <w:lang w:val="ru-RU"/>
              </w:rPr>
              <w:t xml:space="preserve"> </w:t>
            </w:r>
            <w:bookmarkStart w:id="0" w:name="_GoBack"/>
            <w:bookmarkEnd w:id="0"/>
            <w:r>
              <w:rPr>
                <w:rStyle w:val="21"/>
                <w:b w:val="0"/>
                <w:bCs w:val="0"/>
                <w:i w:val="0"/>
                <w:color w:val="3F3F3F"/>
                <w:sz w:val="26"/>
                <w:szCs w:val="26"/>
              </w:rPr>
              <w:t>бюджетной обеспеченности из бюджетов муниципальных районов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/>
                <w:sz w:val="26"/>
                <w:szCs w:val="26"/>
                <w:lang w:eastAsia="en-US"/>
              </w:rPr>
            </w:pPr>
          </w:p>
          <w:p>
            <w:pPr>
              <w:spacing w:line="276" w:lineRule="auto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ind w:right="-365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2 02 35118 10 0000 150</w:t>
            </w:r>
          </w:p>
        </w:tc>
        <w:tc>
          <w:tcPr>
            <w:tcW w:w="5491" w:type="dxa"/>
          </w:tcPr>
          <w:p>
            <w:pPr>
              <w:pStyle w:val="4"/>
              <w:spacing w:before="0" w:after="0" w:line="240" w:lineRule="exact"/>
              <w:jc w:val="both"/>
              <w:rPr>
                <w:b w:val="0"/>
                <w:bCs w:val="0"/>
                <w:color w:val="404040"/>
                <w:sz w:val="26"/>
                <w:szCs w:val="26"/>
                <w:lang w:eastAsia="en-US"/>
              </w:rPr>
            </w:pPr>
            <w:r>
              <w:rPr>
                <w:b w:val="0"/>
                <w:bCs w:val="0"/>
                <w:color w:val="404040"/>
                <w:sz w:val="26"/>
                <w:szCs w:val="26"/>
                <w:lang w:eastAsia="en-US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ind w:right="-365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2 02 35930 10 0000 150</w:t>
            </w:r>
          </w:p>
        </w:tc>
        <w:tc>
          <w:tcPr>
            <w:tcW w:w="5491" w:type="dxa"/>
          </w:tcPr>
          <w:p>
            <w:pPr>
              <w:pStyle w:val="4"/>
              <w:spacing w:before="0" w:after="0" w:line="240" w:lineRule="exact"/>
              <w:jc w:val="both"/>
              <w:rPr>
                <w:b w:val="0"/>
                <w:bCs w:val="0"/>
                <w:color w:val="404040"/>
                <w:sz w:val="26"/>
                <w:szCs w:val="26"/>
                <w:lang w:eastAsia="en-US"/>
              </w:rPr>
            </w:pPr>
            <w:r>
              <w:rPr>
                <w:b w:val="0"/>
                <w:bCs w:val="0"/>
                <w:color w:val="404040"/>
                <w:sz w:val="26"/>
                <w:szCs w:val="26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ind w:right="-365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2 02 49999 10 0000 150</w:t>
            </w:r>
          </w:p>
        </w:tc>
        <w:tc>
          <w:tcPr>
            <w:tcW w:w="5491" w:type="dxa"/>
          </w:tcPr>
          <w:p>
            <w:pPr>
              <w:spacing w:line="240" w:lineRule="exact"/>
              <w:jc w:val="both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ind w:right="-365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rStyle w:val="20"/>
                <w:color w:val="404040"/>
                <w:sz w:val="26"/>
                <w:szCs w:val="26"/>
              </w:rPr>
              <w:t>2 07 05030 10 0000 150</w:t>
            </w:r>
          </w:p>
        </w:tc>
        <w:tc>
          <w:tcPr>
            <w:tcW w:w="5491" w:type="dxa"/>
          </w:tcPr>
          <w:p>
            <w:pPr>
              <w:spacing w:line="240" w:lineRule="exact"/>
              <w:jc w:val="both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rStyle w:val="20"/>
                <w:color w:val="404040"/>
                <w:sz w:val="26"/>
                <w:szCs w:val="26"/>
              </w:rPr>
              <w:t>Прочие безвозмездные поступления в бюджеты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</w:trPr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806</w:t>
            </w:r>
          </w:p>
          <w:p>
            <w:pPr>
              <w:spacing w:line="276" w:lineRule="auto"/>
              <w:rPr>
                <w:color w:val="404040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2 08 05000 10 0000 150</w:t>
            </w:r>
          </w:p>
          <w:p>
            <w:pPr>
              <w:spacing w:line="276" w:lineRule="auto"/>
              <w:ind w:right="-365"/>
              <w:rPr>
                <w:color w:val="404040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5491" w:type="dxa"/>
          </w:tcPr>
          <w:p>
            <w:pPr>
              <w:pStyle w:val="4"/>
              <w:spacing w:before="0" w:after="0" w:line="240" w:lineRule="exact"/>
              <w:jc w:val="both"/>
              <w:rPr>
                <w:b w:val="0"/>
                <w:bCs w:val="0"/>
                <w:color w:val="404040"/>
                <w:sz w:val="26"/>
                <w:szCs w:val="26"/>
                <w:lang w:eastAsia="en-US"/>
              </w:rPr>
            </w:pPr>
            <w:r>
              <w:rPr>
                <w:b w:val="0"/>
                <w:bCs w:val="0"/>
                <w:color w:val="404040"/>
                <w:sz w:val="26"/>
                <w:szCs w:val="26"/>
                <w:lang w:eastAsia="en-US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rPr>
                <w:snapToGrid w:val="0"/>
                <w:color w:val="404040"/>
                <w:sz w:val="26"/>
                <w:szCs w:val="26"/>
                <w:lang w:eastAsia="en-US"/>
              </w:rPr>
            </w:pPr>
            <w:r>
              <w:rPr>
                <w:snapToGrid w:val="0"/>
                <w:color w:val="404040"/>
                <w:sz w:val="26"/>
                <w:szCs w:val="26"/>
                <w:lang w:eastAsia="en-US"/>
              </w:rPr>
              <w:t>2 18 60010 10 0000 150</w:t>
            </w:r>
          </w:p>
        </w:tc>
        <w:tc>
          <w:tcPr>
            <w:tcW w:w="5491" w:type="dxa"/>
          </w:tcPr>
          <w:p>
            <w:pPr>
              <w:spacing w:line="240" w:lineRule="exact"/>
              <w:jc w:val="both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spacing w:line="276" w:lineRule="auto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>
            <w:pPr>
              <w:spacing w:line="276" w:lineRule="auto"/>
              <w:rPr>
                <w:snapToGrid w:val="0"/>
                <w:color w:val="404040"/>
                <w:sz w:val="26"/>
                <w:szCs w:val="26"/>
                <w:lang w:eastAsia="en-US"/>
              </w:rPr>
            </w:pPr>
            <w:r>
              <w:rPr>
                <w:snapToGrid w:val="0"/>
                <w:color w:val="404040"/>
                <w:sz w:val="26"/>
                <w:szCs w:val="26"/>
                <w:lang w:eastAsia="en-US"/>
              </w:rPr>
              <w:t>2 19 60010 10 0000 150</w:t>
            </w:r>
          </w:p>
        </w:tc>
        <w:tc>
          <w:tcPr>
            <w:tcW w:w="5491" w:type="dxa"/>
          </w:tcPr>
          <w:p>
            <w:pPr>
              <w:spacing w:line="240" w:lineRule="exact"/>
              <w:jc w:val="both"/>
              <w:rPr>
                <w:color w:val="404040"/>
                <w:sz w:val="26"/>
                <w:szCs w:val="26"/>
                <w:lang w:eastAsia="en-US"/>
              </w:rPr>
            </w:pPr>
            <w:r>
              <w:rPr>
                <w:color w:val="404040"/>
                <w:sz w:val="26"/>
                <w:szCs w:val="26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both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/>
    <w:p/>
    <w:p/>
    <w:p/>
    <w:p/>
    <w:p/>
    <w:p/>
    <w:p/>
    <w:p/>
    <w:p/>
    <w:p/>
    <w:p/>
    <w:p/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Приложение № 2</w:t>
      </w:r>
    </w:p>
    <w:p>
      <w:pPr>
        <w:spacing w:line="240" w:lineRule="exact"/>
        <w:jc w:val="right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постановлению администрации</w:t>
      </w:r>
    </w:p>
    <w:p>
      <w:pPr>
        <w:spacing w:line="240" w:lineRule="exact"/>
        <w:jc w:val="right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Согдинского сельского поселения</w:t>
      </w:r>
    </w:p>
    <w:p>
      <w:pPr>
        <w:spacing w:line="240" w:lineRule="exact"/>
        <w:jc w:val="right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от 14.11.2021 № 39</w:t>
      </w:r>
    </w:p>
    <w:p>
      <w:pPr>
        <w:pStyle w:val="3"/>
        <w:spacing w:line="240" w:lineRule="exac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 О Р Я Д О К</w:t>
      </w:r>
    </w:p>
    <w:p>
      <w:pPr>
        <w:spacing w:line="240" w:lineRule="exact"/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исполнения функций Администратора доходов бюджета</w:t>
      </w:r>
    </w:p>
    <w:p>
      <w:pPr>
        <w:spacing w:line="240" w:lineRule="exact"/>
        <w:jc w:val="center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по администрированию поступлений в бюджет</w:t>
      </w:r>
    </w:p>
    <w:p>
      <w:pPr>
        <w:jc w:val="center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:lang w:val="en-US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I</w:t>
      </w: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. Общие положения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 Настоящий порядок устанавливает общие правила исполнения функций Администратора доходов бюджета Администрацией Согдинского сельского поселения.</w:t>
      </w:r>
    </w:p>
    <w:p>
      <w:pPr>
        <w:jc w:val="both"/>
        <w:rPr>
          <w:color w:val="404040" w:themeColor="text1" w:themeTint="BF"/>
          <w:sz w:val="28"/>
          <w:szCs w:val="28"/>
          <w:u w:val="single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:lang w:val="en-US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II</w:t>
      </w: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.</w:t>
      </w:r>
      <w:r>
        <w:rPr>
          <w:rFonts w:hint="default"/>
          <w:b/>
          <w:bCs/>
          <w:color w:val="404040" w:themeColor="text1" w:themeTint="BF"/>
          <w:sz w:val="28"/>
          <w:szCs w:val="28"/>
          <w:lang w:val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Бюджетные полномочия Администраторадоходов бюджета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 Администрация Согдинского сельского поселения Верхнебуреинского муниципального района Хабаровского края наделено в отношении закрепленных за ним доходов следующими бюджетными полномочиями: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а) начисление, персонифицированный учет начисленных и поступивших сумм платежей, контроль за правильностью исчисления, полнотой и своевременностью осуществления платежей в бюджет, пеней и штрафов по ним;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б) взыскание задолженности по платежам в бюджет, пеней и штрафов;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в)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предоставленные в орган Федерального казначейства поручений для осуществления возврата в порядке, установленном Министерством финансов Российской Федерации;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г) принятие решений о зачете (уточнении) платежей в бюджет и представление соответствующего уведомления в орган Федерального казначейства.</w:t>
      </w:r>
    </w:p>
    <w:p>
      <w:pPr>
        <w:numPr>
          <w:ilvl w:val="0"/>
          <w:numId w:val="1"/>
        </w:num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При принятии решений о возврате излишне уплаченных (взысканных) платежей, а также решения об уточнении вида и принадлежности платежей в бюджет, Администратор руководствуется следующими Правилами осуществления возврата (уточнения):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а) согласно письменному запросу плательщика с обязательным приложением оправдательных документов и в соответствии с  Законодательством Российской Федерации Администратор определяет сумму платежа, подлежащую возврату (уточнению);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б) Администратор при расчете суммы платежа, подлежащей возврату  (уточнению), оперирует исключительно данными выписок из лицевых счетов администратора доходов бюджета, доведенных Администратору территориальным органом Федерального казначейства;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в) в случае отклонения суммы платежа, признанной (исчисленной) Администратором излишне уплаченной и подлежащей возврату (уточнению) от запрашиваемой плательщиком к возврату (уточнению) суммы платежа, Администратор корректирует (уменьшает) сумму возврата (уточнения) на величину отклонения.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Администратор своевременно производит уточнение (выяснение) принадлежности поступлений, отнесенных органом Федерального казначейства к невыясненным поступлениям и включенных в Запрос на выяснение принадлежности платежа для администратора доходов бюджета.</w:t>
      </w:r>
    </w:p>
    <w:p>
      <w:pPr>
        <w:pStyle w:val="3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III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. Основные положения по администрированию доходов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 Для осуществления своих полномочий Администратор: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а) заключает с Управлением Федерального казначейства по месту юридической регистрации Договор об обмене электронными документами с использованием электронной цифровой подписи;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б) взаимодействует с территориальным органом  Федерального казначейства в соответствии с приказами Министерства финансов Российской Федерации и Федерального казначейства;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в) организует работу по администрированию поступлений в соответствии с требованиями бюджетного учета установленными приказом Министерства финансов Российской Федерации от 01 декабря 2011 г. № 178н «Об утверждении единого плана счетов бухгалтерского учета», приказа министерства финансов Российской Федерации  01 декабря 2010 г. № 157н «Об утверждении инструкции по бюджетному учёту».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default"/>
          <w:color w:val="404040" w:themeColor="text1" w:themeTint="BF"/>
          <w:lang w:val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</w: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. Администратор доходов бюджета при  взаимодействии с плательщиками выполняет следующие функции: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а) доводит по закрепленным источникам доходов до плательщиков соответствующие образцы платежных документов (платежных поручений, квитанций) на перечисление средств в бюджетную систему Российской Федерации оформленных в соответствии с приказом Министерства финансов Российской Федерации от 06 декабря 2010 г. № 162н «Об утверждении плана счетов бюджетного учёта и инструкции по его применению».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б) осуществляют организацию разъяснительной работы среди плательщиков платежей в бюджеты бюджетной системы Российской Федерации во избежание ошибок при заполнении платежных документов.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Администратор доходов бюджета представляет в Финансовое управление администрации Верхнебуреинского муниципального района Хабаровского края  бюджетную отчетность по доходам в порядке и сроки, установленные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№ 191н.</w:t>
      </w:r>
    </w:p>
    <w:p>
      <w:pPr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:lang w:val="en-US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IV</w:t>
      </w: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. Заключительные положения</w:t>
      </w:r>
    </w:p>
    <w:p>
      <w:pPr>
        <w:pStyle w:val="9"/>
        <w:spacing w:line="240" w:lineRule="auto"/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 Если положения настоящего Порядка противоречат принятым или принимаемым нормативно-правовым актам, Администратор руководствуется в своей деятельности этими актами вплоть до внесения изменений в настоящий Порядок.</w:t>
      </w: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0B13BF"/>
    <w:multiLevelType w:val="singleLevel"/>
    <w:tmpl w:val="370B13BF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78C"/>
    <w:rsid w:val="00071729"/>
    <w:rsid w:val="00080FFD"/>
    <w:rsid w:val="000C72D9"/>
    <w:rsid w:val="001239B2"/>
    <w:rsid w:val="00127C84"/>
    <w:rsid w:val="001761A8"/>
    <w:rsid w:val="001935B1"/>
    <w:rsid w:val="001947A6"/>
    <w:rsid w:val="001F06B9"/>
    <w:rsid w:val="00233329"/>
    <w:rsid w:val="00272976"/>
    <w:rsid w:val="002902A9"/>
    <w:rsid w:val="002967F3"/>
    <w:rsid w:val="002D7E49"/>
    <w:rsid w:val="002E454C"/>
    <w:rsid w:val="00316C72"/>
    <w:rsid w:val="00324A6B"/>
    <w:rsid w:val="003445C2"/>
    <w:rsid w:val="003636A8"/>
    <w:rsid w:val="00384C94"/>
    <w:rsid w:val="00387E79"/>
    <w:rsid w:val="003E3B1B"/>
    <w:rsid w:val="00441F39"/>
    <w:rsid w:val="0046363A"/>
    <w:rsid w:val="004A2710"/>
    <w:rsid w:val="004A59F5"/>
    <w:rsid w:val="00504974"/>
    <w:rsid w:val="00504A08"/>
    <w:rsid w:val="00507861"/>
    <w:rsid w:val="00511298"/>
    <w:rsid w:val="0051440E"/>
    <w:rsid w:val="0052441D"/>
    <w:rsid w:val="0056374C"/>
    <w:rsid w:val="005861C1"/>
    <w:rsid w:val="005A18BB"/>
    <w:rsid w:val="005C4BEB"/>
    <w:rsid w:val="00607FC3"/>
    <w:rsid w:val="00615B3D"/>
    <w:rsid w:val="00643B60"/>
    <w:rsid w:val="00676940"/>
    <w:rsid w:val="006C709C"/>
    <w:rsid w:val="006F46A0"/>
    <w:rsid w:val="00704F58"/>
    <w:rsid w:val="00724B3A"/>
    <w:rsid w:val="0075606A"/>
    <w:rsid w:val="00777320"/>
    <w:rsid w:val="007A2B40"/>
    <w:rsid w:val="007F31BD"/>
    <w:rsid w:val="0083497B"/>
    <w:rsid w:val="00894B5C"/>
    <w:rsid w:val="00894B5F"/>
    <w:rsid w:val="008E77ED"/>
    <w:rsid w:val="00922ABA"/>
    <w:rsid w:val="00930BC5"/>
    <w:rsid w:val="00977142"/>
    <w:rsid w:val="009B2FB4"/>
    <w:rsid w:val="009B6BFC"/>
    <w:rsid w:val="009F4D9F"/>
    <w:rsid w:val="00A01DEF"/>
    <w:rsid w:val="00A37DEE"/>
    <w:rsid w:val="00A97E0B"/>
    <w:rsid w:val="00AD2FFA"/>
    <w:rsid w:val="00B302FB"/>
    <w:rsid w:val="00B61D5B"/>
    <w:rsid w:val="00B7542D"/>
    <w:rsid w:val="00B91CEA"/>
    <w:rsid w:val="00BA1153"/>
    <w:rsid w:val="00BD44F3"/>
    <w:rsid w:val="00BD5BCC"/>
    <w:rsid w:val="00BF487D"/>
    <w:rsid w:val="00C3171F"/>
    <w:rsid w:val="00C83200"/>
    <w:rsid w:val="00CE5BF0"/>
    <w:rsid w:val="00D05B6C"/>
    <w:rsid w:val="00D51BE1"/>
    <w:rsid w:val="00DA2230"/>
    <w:rsid w:val="00DA278C"/>
    <w:rsid w:val="00E129E2"/>
    <w:rsid w:val="00E3143E"/>
    <w:rsid w:val="00E328CE"/>
    <w:rsid w:val="00E32FE8"/>
    <w:rsid w:val="00E40F9A"/>
    <w:rsid w:val="00E43821"/>
    <w:rsid w:val="00E94EA6"/>
    <w:rsid w:val="00ED3B9D"/>
    <w:rsid w:val="00EF56BA"/>
    <w:rsid w:val="00F30A3E"/>
    <w:rsid w:val="00F3227E"/>
    <w:rsid w:val="00F324E4"/>
    <w:rsid w:val="00F43EC0"/>
    <w:rsid w:val="00F45D1E"/>
    <w:rsid w:val="00F922F1"/>
    <w:rsid w:val="0809506D"/>
    <w:rsid w:val="1199283D"/>
    <w:rsid w:val="1BB612E1"/>
    <w:rsid w:val="1C763454"/>
    <w:rsid w:val="65801CFC"/>
    <w:rsid w:val="7DB961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nhideWhenUsed="0" w:uiPriority="99" w:semiHidden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qFormat="1"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1"/>
    <w:qFormat/>
    <w:uiPriority w:val="9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3">
    <w:name w:val="heading 2"/>
    <w:basedOn w:val="1"/>
    <w:next w:val="1"/>
    <w:link w:val="12"/>
    <w:qFormat/>
    <w:uiPriority w:val="99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4">
    <w:name w:val="heading 4"/>
    <w:basedOn w:val="1"/>
    <w:next w:val="1"/>
    <w:link w:val="13"/>
    <w:qFormat/>
    <w:uiPriority w:val="9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9"/>
    <w:basedOn w:val="1"/>
    <w:next w:val="1"/>
    <w:link w:val="14"/>
    <w:qFormat/>
    <w:locked/>
    <w:uiPriority w:val="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7"/>
    <w:semiHidden/>
    <w:qFormat/>
    <w:uiPriority w:val="99"/>
    <w:rPr>
      <w:rFonts w:ascii="Tahoma" w:hAnsi="Tahoma" w:cs="Tahoma"/>
      <w:sz w:val="16"/>
      <w:szCs w:val="16"/>
    </w:rPr>
  </w:style>
  <w:style w:type="paragraph" w:styleId="9">
    <w:name w:val="Body Text 2"/>
    <w:basedOn w:val="1"/>
    <w:link w:val="18"/>
    <w:semiHidden/>
    <w:qFormat/>
    <w:uiPriority w:val="99"/>
    <w:pPr>
      <w:spacing w:after="120" w:line="480" w:lineRule="auto"/>
    </w:pPr>
  </w:style>
  <w:style w:type="paragraph" w:styleId="10">
    <w:name w:val="Body Text"/>
    <w:basedOn w:val="1"/>
    <w:link w:val="15"/>
    <w:semiHidden/>
    <w:qFormat/>
    <w:uiPriority w:val="99"/>
    <w:rPr>
      <w:sz w:val="28"/>
      <w:szCs w:val="28"/>
    </w:rPr>
  </w:style>
  <w:style w:type="character" w:customStyle="1" w:styleId="11">
    <w:name w:val="Заголовок 1 Знак"/>
    <w:link w:val="2"/>
    <w:locked/>
    <w:uiPriority w:val="99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12">
    <w:name w:val="Заголовок 2 Знак"/>
    <w:link w:val="3"/>
    <w:semiHidden/>
    <w:locked/>
    <w:uiPriority w:val="99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13">
    <w:name w:val="Заголовок 4 Знак"/>
    <w:link w:val="4"/>
    <w:qFormat/>
    <w:locked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14">
    <w:name w:val="Заголовок 9 Знак"/>
    <w:link w:val="5"/>
    <w:semiHidden/>
    <w:qFormat/>
    <w:locked/>
    <w:uiPriority w:val="99"/>
    <w:rPr>
      <w:rFonts w:ascii="Cambria" w:hAnsi="Cambria" w:cs="Cambria"/>
    </w:rPr>
  </w:style>
  <w:style w:type="character" w:customStyle="1" w:styleId="15">
    <w:name w:val="Основной текст Знак"/>
    <w:link w:val="10"/>
    <w:semiHidden/>
    <w:locked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6">
    <w:name w:val="ConsPlusTitle"/>
    <w:qFormat/>
    <w:uiPriority w:val="99"/>
    <w:pPr>
      <w:widowControl w:val="0"/>
      <w:autoSpaceDE w:val="0"/>
      <w:autoSpaceDN w:val="0"/>
      <w:adjustRightInd w:val="0"/>
    </w:pPr>
    <w:rPr>
      <w:rFonts w:ascii="Calibri" w:hAnsi="Calibri" w:eastAsia="Times New Roman" w:cs="Calibri"/>
      <w:b/>
      <w:bCs/>
      <w:sz w:val="22"/>
      <w:szCs w:val="22"/>
      <w:lang w:val="ru-RU" w:eastAsia="ru-RU" w:bidi="ar-SA"/>
    </w:rPr>
  </w:style>
  <w:style w:type="character" w:customStyle="1" w:styleId="17">
    <w:name w:val="Текст выноски Знак"/>
    <w:link w:val="8"/>
    <w:semiHidden/>
    <w:qFormat/>
    <w:locked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18">
    <w:name w:val="Основной текст 2 Знак"/>
    <w:link w:val="9"/>
    <w:semiHidden/>
    <w:locked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9">
    <w:name w:val="Знак"/>
    <w:basedOn w:val="1"/>
    <w:qFormat/>
    <w:uiPriority w:val="99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20">
    <w:name w:val="blk1"/>
    <w:qFormat/>
    <w:uiPriority w:val="0"/>
  </w:style>
  <w:style w:type="character" w:customStyle="1" w:styleId="21">
    <w:name w:val="fontstyle01"/>
    <w:uiPriority w:val="0"/>
    <w:rPr>
      <w:rFonts w:hint="default" w:ascii="Times New Roman" w:hAnsi="Times New Roman" w:cs="Times New Roman"/>
      <w:b/>
      <w:bCs/>
      <w:i/>
      <w:iCs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</Company>
  <Pages>6</Pages>
  <Words>1681</Words>
  <Characters>9586</Characters>
  <Lines>79</Lines>
  <Paragraphs>22</Paragraphs>
  <TotalTime>11</TotalTime>
  <ScaleCrop>false</ScaleCrop>
  <LinksUpToDate>false</LinksUpToDate>
  <CharactersWithSpaces>11245</CharactersWithSpaces>
  <Application>WPS Office_11.2.0.10382_F1E327BC-269C-435d-A152-05C5408002CA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2021-12-03T02:22:00Z</dcterms:created>
  <dc:creator>Марина</dc:creator>
  <cp:lastModifiedBy>nastr</cp:lastModifiedBy>
  <cp:lastPrinted>2016-01-14T02:50:00Z</cp:lastPrinted>
  <dcterms:modified xsi:type="dcterms:W3CDTF">2021-12-21T03:20:50Z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82F2E2289EE7493D8AB4A721A0620053</vt:lpwstr>
  </property>
</Properties>
</file>