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5"/>
        <w:spacing w:before="0" w:after="0"/>
        <w:jc w:val="center"/>
        <w:rPr>
          <w:rFonts w:ascii="Times New Roman" w:hAnsi="Times New Roman" w:cs="Times New Roman"/>
          <w:b/>
          <w:bCs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F3F3F" w:themeColor="text1" w:themeTint="BF"/>
          <w:sz w:val="28"/>
          <w:szCs w:val="28"/>
        </w:rPr>
        <w:t>АДМИНИСТРАЦИЯ</w:t>
      </w:r>
    </w:p>
    <w:p>
      <w:pPr>
        <w:jc w:val="center"/>
        <w:rPr>
          <w:b/>
          <w:bCs/>
          <w:color w:val="3F3F3F" w:themeColor="text1" w:themeTint="BF"/>
          <w:sz w:val="28"/>
          <w:szCs w:val="28"/>
        </w:rPr>
      </w:pPr>
      <w:r>
        <w:rPr>
          <w:b/>
          <w:bCs/>
          <w:color w:val="3F3F3F" w:themeColor="text1" w:themeTint="BF"/>
          <w:sz w:val="28"/>
          <w:szCs w:val="28"/>
        </w:rPr>
        <w:t>СОГДИНСКОГО СЕЛЬСКОГО ПОСЕЛЕНИЯ</w:t>
      </w:r>
    </w:p>
    <w:p>
      <w:pPr>
        <w:jc w:val="center"/>
        <w:rPr>
          <w:b/>
          <w:bCs/>
          <w:color w:val="3F3F3F" w:themeColor="text1" w:themeTint="BF"/>
          <w:sz w:val="28"/>
          <w:szCs w:val="28"/>
        </w:rPr>
      </w:pPr>
      <w:r>
        <w:rPr>
          <w:b/>
          <w:bCs/>
          <w:color w:val="3F3F3F" w:themeColor="text1" w:themeTint="BF"/>
          <w:sz w:val="28"/>
          <w:szCs w:val="28"/>
        </w:rPr>
        <w:t>ВЕРХНЕБУРЕИНСКОГО МУНИЦИПАЛЬНОГО РАЙОНА</w:t>
      </w:r>
    </w:p>
    <w:p>
      <w:pPr>
        <w:jc w:val="center"/>
        <w:rPr>
          <w:b/>
          <w:bCs/>
          <w:color w:val="3F3F3F" w:themeColor="text1" w:themeTint="BF"/>
          <w:sz w:val="28"/>
          <w:szCs w:val="28"/>
        </w:rPr>
      </w:pPr>
      <w:r>
        <w:rPr>
          <w:b/>
          <w:bCs/>
          <w:color w:val="3F3F3F" w:themeColor="text1" w:themeTint="BF"/>
          <w:sz w:val="28"/>
          <w:szCs w:val="28"/>
        </w:rPr>
        <w:t>Хабаровского края</w:t>
      </w:r>
    </w:p>
    <w:p>
      <w:pPr>
        <w:jc w:val="center"/>
        <w:rPr>
          <w:color w:val="3F3F3F" w:themeColor="text1" w:themeTint="BF"/>
          <w:sz w:val="28"/>
          <w:szCs w:val="28"/>
        </w:rPr>
      </w:pPr>
    </w:p>
    <w:p>
      <w:pPr>
        <w:jc w:val="center"/>
        <w:rPr>
          <w:b/>
          <w:bCs/>
          <w:color w:val="3F3F3F" w:themeColor="text1" w:themeTint="BF"/>
          <w:sz w:val="28"/>
          <w:szCs w:val="28"/>
        </w:rPr>
      </w:pPr>
      <w:r>
        <w:rPr>
          <w:b/>
          <w:bCs/>
          <w:color w:val="3F3F3F" w:themeColor="text1" w:themeTint="BF"/>
          <w:sz w:val="28"/>
          <w:szCs w:val="28"/>
        </w:rPr>
        <w:t>ПОСТАНОВЛЕНИЕ</w:t>
      </w:r>
    </w:p>
    <w:tbl>
      <w:tblPr>
        <w:tblStyle w:val="7"/>
        <w:tblpPr w:leftFromText="180" w:rightFromText="180" w:vertAnchor="text" w:horzAnchor="margin" w:tblpY="14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5" w:hRule="atLeast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color w:val="3F3F3F" w:themeColor="text1" w:themeTint="BF"/>
                <w:sz w:val="28"/>
                <w:szCs w:val="28"/>
                <w:u w:val="single"/>
              </w:rPr>
            </w:pPr>
          </w:p>
          <w:p>
            <w:pPr>
              <w:jc w:val="center"/>
              <w:rPr>
                <w:color w:val="3F3F3F" w:themeColor="text1" w:themeTint="BF"/>
                <w:sz w:val="28"/>
                <w:szCs w:val="28"/>
                <w:u w:val="single"/>
              </w:rPr>
            </w:pPr>
            <w:r>
              <w:rPr>
                <w:color w:val="3F3F3F" w:themeColor="text1" w:themeTint="BF"/>
                <w:sz w:val="28"/>
                <w:szCs w:val="28"/>
                <w:u w:val="single"/>
              </w:rPr>
              <w:t>10.12.2019 № 43</w:t>
            </w:r>
          </w:p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с. Согда</w:t>
            </w:r>
          </w:p>
        </w:tc>
      </w:tr>
    </w:tbl>
    <w:p>
      <w:pPr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</w:p>
    <w:tbl>
      <w:tblPr>
        <w:tblStyle w:val="7"/>
        <w:tblpPr w:leftFromText="180" w:rightFromText="180" w:vertAnchor="text" w:horzAnchor="margin" w:tblpY="103"/>
        <w:tblW w:w="40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/>
              <w:jc w:val="both"/>
              <w:rPr>
                <w:color w:val="3F3F3F" w:themeColor="text1" w:themeTint="BF"/>
                <w:sz w:val="28"/>
                <w:szCs w:val="28"/>
              </w:rPr>
            </w:pPr>
            <w:r>
              <w:rPr>
                <w:color w:val="3F3F3F" w:themeColor="text1" w:themeTint="BF"/>
                <w:sz w:val="28"/>
                <w:szCs w:val="28"/>
              </w:rPr>
              <w:t>Об администрировании доходов</w:t>
            </w:r>
          </w:p>
        </w:tc>
      </w:tr>
    </w:tbl>
    <w:p>
      <w:pPr>
        <w:rPr>
          <w:color w:val="3F3F3F" w:themeColor="text1" w:themeTint="BF"/>
          <w:sz w:val="28"/>
          <w:szCs w:val="28"/>
        </w:rPr>
      </w:pPr>
    </w:p>
    <w:p>
      <w:pPr>
        <w:pStyle w:val="10"/>
        <w:jc w:val="both"/>
        <w:rPr>
          <w:color w:val="3F3F3F" w:themeColor="text1" w:themeTint="BF"/>
        </w:rPr>
      </w:pPr>
    </w:p>
    <w:p>
      <w:pPr>
        <w:pStyle w:val="10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</w:rPr>
        <w:t xml:space="preserve">В соответствии со ст. 160.1 Бюджетного кодекса Российской Федерации администрация Согдинского сельского поселения </w:t>
      </w:r>
    </w:p>
    <w:p>
      <w:pPr>
        <w:pStyle w:val="10"/>
        <w:rPr>
          <w:color w:val="3F3F3F" w:themeColor="text1" w:themeTint="BF"/>
        </w:rPr>
      </w:pPr>
      <w:r>
        <w:rPr>
          <w:color w:val="3F3F3F" w:themeColor="text1" w:themeTint="BF"/>
        </w:rPr>
        <w:t>ПОСТАНОВЛЯЕТ:</w:t>
      </w:r>
    </w:p>
    <w:p>
      <w:pPr>
        <w:pStyle w:val="16"/>
        <w:widowControl/>
        <w:ind w:firstLine="567"/>
        <w:jc w:val="both"/>
        <w:rPr>
          <w:rFonts w:ascii="Times New Roman" w:hAnsi="Times New Roman" w:cs="Times New Roman"/>
          <w:b w:val="0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b w:val="0"/>
          <w:color w:val="3F3F3F" w:themeColor="text1" w:themeTint="BF"/>
          <w:sz w:val="28"/>
          <w:szCs w:val="28"/>
        </w:rPr>
        <w:t xml:space="preserve">1. Наделить функциями Администратора доходов бюджета и закрепить за администрацией Согдинского сельского поселения Верхнебуреинского муниципального района Хабаровского края Перечень главного администратора доходов, закрепленных бюджетной классификацией за администратором поступлений бюджета Согдинского </w:t>
      </w:r>
      <w:r>
        <w:rPr>
          <w:rFonts w:ascii="Times New Roman" w:hAnsi="Times New Roman" w:cs="Times New Roman"/>
          <w:b w:val="0"/>
          <w:bCs w:val="0"/>
          <w:color w:val="3F3F3F" w:themeColor="text1" w:themeTint="BF"/>
          <w:sz w:val="28"/>
          <w:szCs w:val="28"/>
        </w:rPr>
        <w:t>сельского поселения Верхнебуреинского муниципального района</w:t>
      </w:r>
      <w:r>
        <w:rPr>
          <w:rFonts w:ascii="Times New Roman" w:hAnsi="Times New Roman" w:cs="Times New Roman"/>
          <w:b w:val="0"/>
          <w:color w:val="3F3F3F" w:themeColor="text1" w:themeTint="BF"/>
          <w:sz w:val="28"/>
          <w:szCs w:val="28"/>
        </w:rPr>
        <w:t xml:space="preserve"> Хабаровского края, согласно Приложению № 1 к настоящему постановлению. </w:t>
      </w:r>
    </w:p>
    <w:p>
      <w:pPr>
        <w:pStyle w:val="10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</w:rPr>
        <w:t>2. Утвердить Порядок исполнения функций Администратора доходов бюджета по администрированию поступлений в бюджет (далее - Порядок), согласно Приложению № 2 к настоящему постановлению.</w:t>
      </w:r>
    </w:p>
    <w:p>
      <w:pPr>
        <w:pStyle w:val="10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</w:rPr>
        <w:t>3. Признать утратившим силу постановление администрации Согдинского сельского поселения от 30.10.2018 г. № 23 «Об администрировании доходов».</w:t>
      </w:r>
    </w:p>
    <w:p>
      <w:pPr>
        <w:pStyle w:val="10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</w:rPr>
        <w:t>4. Контроль за исполнением настоящего постановления оставляю за собой.</w:t>
      </w:r>
    </w:p>
    <w:p>
      <w:pPr>
        <w:pStyle w:val="10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</w:rPr>
        <w:t>5. Настоящее постановление вступает в силу после его официального опубликования (обнародования).</w:t>
      </w:r>
    </w:p>
    <w:p>
      <w:pPr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 xml:space="preserve">Глава сельского поселения              </w:t>
      </w:r>
      <w:r>
        <w:rPr>
          <w:color w:val="3F3F3F" w:themeColor="text1" w:themeTint="BF"/>
          <w:sz w:val="28"/>
          <w:szCs w:val="28"/>
        </w:rPr>
        <w:tab/>
      </w:r>
      <w:r>
        <w:rPr>
          <w:color w:val="3F3F3F" w:themeColor="text1" w:themeTint="BF"/>
          <w:sz w:val="28"/>
          <w:szCs w:val="28"/>
        </w:rPr>
        <w:tab/>
      </w:r>
      <w:r>
        <w:rPr>
          <w:color w:val="3F3F3F" w:themeColor="text1" w:themeTint="BF"/>
          <w:sz w:val="28"/>
          <w:szCs w:val="28"/>
        </w:rPr>
        <w:tab/>
      </w:r>
      <w:r>
        <w:rPr>
          <w:color w:val="3F3F3F" w:themeColor="text1" w:themeTint="BF"/>
          <w:sz w:val="28"/>
          <w:szCs w:val="28"/>
        </w:rPr>
        <w:tab/>
      </w:r>
      <w:r>
        <w:rPr>
          <w:color w:val="3F3F3F" w:themeColor="text1" w:themeTint="BF"/>
          <w:sz w:val="28"/>
          <w:szCs w:val="28"/>
        </w:rPr>
        <w:t xml:space="preserve">                     Е.М. Репина</w:t>
      </w:r>
    </w:p>
    <w:p>
      <w:pPr>
        <w:rPr>
          <w:rFonts w:ascii="Cambria" w:hAnsi="Cambria" w:cs="Cambria"/>
          <w:b/>
          <w:bCs/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</w:rPr>
      </w:pPr>
    </w:p>
    <w:p>
      <w:pPr>
        <w:pStyle w:val="3"/>
        <w:spacing w:before="0" w:line="240" w:lineRule="exact"/>
        <w:jc w:val="both"/>
        <w:rPr>
          <w:rFonts w:ascii="Times New Roman" w:hAnsi="Times New Roman" w:cs="Times New Roman"/>
          <w:b w:val="0"/>
          <w:bCs w:val="0"/>
          <w:color w:val="3F3F3F" w:themeColor="text1" w:themeTint="BF"/>
          <w:sz w:val="28"/>
          <w:szCs w:val="28"/>
        </w:rPr>
      </w:pPr>
    </w:p>
    <w:p/>
    <w:p>
      <w:pPr>
        <w:pStyle w:val="3"/>
        <w:spacing w:before="0" w:line="240" w:lineRule="exact"/>
        <w:jc w:val="both"/>
        <w:rPr>
          <w:rFonts w:ascii="Times New Roman" w:hAnsi="Times New Roman" w:cs="Times New Roman"/>
          <w:b w:val="0"/>
          <w:bCs w:val="0"/>
          <w:color w:val="3F3F3F" w:themeColor="text1" w:themeTint="BF"/>
          <w:sz w:val="28"/>
          <w:szCs w:val="28"/>
        </w:rPr>
      </w:pPr>
    </w:p>
    <w:p>
      <w:bookmarkStart w:id="0" w:name="_GoBack"/>
      <w:bookmarkEnd w:id="0"/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3F3F3F" w:themeColor="text1" w:themeTint="BF"/>
          <w:sz w:val="28"/>
          <w:szCs w:val="28"/>
        </w:rPr>
        <w:t>Приложение № 1</w:t>
      </w: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3F3F3F" w:themeColor="text1" w:themeTint="BF"/>
          <w:sz w:val="28"/>
          <w:szCs w:val="28"/>
        </w:rPr>
        <w:t>к постановлению администрации</w:t>
      </w:r>
    </w:p>
    <w:p>
      <w:pPr>
        <w:spacing w:line="240" w:lineRule="exact"/>
        <w:jc w:val="right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Согдинского сельского поселения</w:t>
      </w:r>
    </w:p>
    <w:p>
      <w:pPr>
        <w:spacing w:line="240" w:lineRule="exact"/>
        <w:jc w:val="right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от 10.12.2019 № 43</w:t>
      </w:r>
    </w:p>
    <w:p>
      <w:pPr>
        <w:ind w:right="-81"/>
        <w:jc w:val="right"/>
        <w:rPr>
          <w:color w:val="3F3F3F" w:themeColor="text1" w:themeTint="BF"/>
          <w:sz w:val="28"/>
          <w:szCs w:val="28"/>
        </w:rPr>
      </w:pPr>
    </w:p>
    <w:p>
      <w:pPr>
        <w:pStyle w:val="16"/>
        <w:widowControl/>
        <w:spacing w:line="240" w:lineRule="exact"/>
        <w:jc w:val="center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Перечень главного администратора доходов, </w:t>
      </w:r>
    </w:p>
    <w:p>
      <w:pPr>
        <w:pStyle w:val="16"/>
        <w:widowControl/>
        <w:spacing w:line="240" w:lineRule="exact"/>
        <w:jc w:val="center"/>
        <w:rPr>
          <w:rFonts w:ascii="Times New Roman" w:hAnsi="Times New Roman" w:cs="Times New Roman"/>
          <w:b w:val="0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закрепленных бюджетной классификацией за администратором поступлений бюджета</w:t>
      </w:r>
    </w:p>
    <w:p>
      <w:pPr>
        <w:pStyle w:val="16"/>
        <w:widowControl/>
        <w:spacing w:line="240" w:lineRule="exact"/>
        <w:jc w:val="center"/>
        <w:rPr>
          <w:rFonts w:ascii="Times New Roman" w:hAnsi="Times New Roman" w:cs="Times New Roman"/>
          <w:b w:val="0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b w:val="0"/>
          <w:color w:val="3F3F3F" w:themeColor="text1" w:themeTint="BF"/>
          <w:sz w:val="28"/>
          <w:szCs w:val="28"/>
        </w:rPr>
        <w:t xml:space="preserve">Согдинского </w:t>
      </w:r>
      <w:r>
        <w:rPr>
          <w:rFonts w:ascii="Times New Roman" w:hAnsi="Times New Roman" w:cs="Times New Roman"/>
          <w:b w:val="0"/>
          <w:bCs w:val="0"/>
          <w:color w:val="3F3F3F" w:themeColor="text1" w:themeTint="BF"/>
          <w:sz w:val="28"/>
          <w:szCs w:val="28"/>
        </w:rPr>
        <w:t>сельского поселения Верхнебуреинского муниципального района</w:t>
      </w:r>
      <w:r>
        <w:rPr>
          <w:rFonts w:ascii="Times New Roman" w:hAnsi="Times New Roman" w:cs="Times New Roman"/>
          <w:b w:val="0"/>
          <w:color w:val="3F3F3F" w:themeColor="text1" w:themeTint="BF"/>
          <w:sz w:val="28"/>
          <w:szCs w:val="28"/>
        </w:rPr>
        <w:t xml:space="preserve"> Хабаровского края</w:t>
      </w:r>
    </w:p>
    <w:p>
      <w:pPr>
        <w:jc w:val="center"/>
        <w:rPr>
          <w:color w:val="3F3F3F" w:themeColor="text1" w:themeTint="BF"/>
          <w:sz w:val="26"/>
          <w:szCs w:val="26"/>
        </w:rPr>
      </w:pPr>
    </w:p>
    <w:tbl>
      <w:tblPr>
        <w:tblStyle w:val="7"/>
        <w:tblW w:w="978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2835"/>
        <w:gridCol w:w="59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Код адми</w:t>
            </w:r>
          </w:p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нистра</w:t>
            </w:r>
          </w:p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тора</w:t>
            </w:r>
          </w:p>
        </w:tc>
        <w:tc>
          <w:tcPr>
            <w:tcW w:w="2835" w:type="dxa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Код платежа по БК</w:t>
            </w:r>
          </w:p>
        </w:tc>
        <w:tc>
          <w:tcPr>
            <w:tcW w:w="5953" w:type="dxa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Наименование платежа по БК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  <w:tcBorders>
              <w:bottom w:val="single" w:color="auto" w:sz="4" w:space="0"/>
            </w:tcBorders>
          </w:tcPr>
          <w:p>
            <w:pPr>
              <w:rPr>
                <w:color w:val="3F3F3F" w:themeColor="text1" w:themeTint="BF"/>
                <w:sz w:val="2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ИНН 2710001475</w:t>
            </w:r>
          </w:p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КПП 271001001</w:t>
            </w:r>
          </w:p>
        </w:tc>
        <w:tc>
          <w:tcPr>
            <w:tcW w:w="5953" w:type="dxa"/>
            <w:tcBorders>
              <w:bottom w:val="single" w:color="auto" w:sz="4" w:space="0"/>
            </w:tcBorders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 xml:space="preserve">Администрация Согдинского </w:t>
            </w:r>
            <w:r>
              <w:rPr>
                <w:bCs/>
                <w:color w:val="3F3F3F" w:themeColor="text1" w:themeTint="BF"/>
                <w:sz w:val="26"/>
                <w:szCs w:val="26"/>
              </w:rPr>
              <w:t>сельского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  <w:p>
            <w:pPr>
              <w:rPr>
                <w:color w:val="3F3F3F" w:themeColor="text1" w:themeTint="BF"/>
                <w:sz w:val="26"/>
                <w:szCs w:val="26"/>
              </w:rPr>
            </w:pPr>
          </w:p>
          <w:p>
            <w:pPr>
              <w:ind w:left="-142"/>
              <w:rPr>
                <w:color w:val="3F3F3F" w:themeColor="text1" w:themeTint="BF"/>
                <w:sz w:val="26"/>
                <w:szCs w:val="26"/>
              </w:rPr>
            </w:pPr>
          </w:p>
        </w:tc>
        <w:tc>
          <w:tcPr>
            <w:tcW w:w="2835" w:type="dxa"/>
          </w:tcPr>
          <w:p>
            <w:pPr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snapToGrid w:val="0"/>
                <w:color w:val="3F3F3F" w:themeColor="text1" w:themeTint="BF"/>
                <w:sz w:val="26"/>
                <w:szCs w:val="26"/>
              </w:rPr>
              <w:t>1 08 04020 01 0000 110</w:t>
            </w:r>
          </w:p>
        </w:tc>
        <w:tc>
          <w:tcPr>
            <w:tcW w:w="5953" w:type="dxa"/>
          </w:tcPr>
          <w:p>
            <w:pPr>
              <w:jc w:val="both"/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>
            <w:pPr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snapToGrid w:val="0"/>
                <w:color w:val="3F3F3F" w:themeColor="text1" w:themeTint="BF"/>
                <w:sz w:val="26"/>
                <w:szCs w:val="26"/>
              </w:rPr>
              <w:t>1 11 05035 10 0000 120</w:t>
            </w:r>
          </w:p>
        </w:tc>
        <w:tc>
          <w:tcPr>
            <w:tcW w:w="5953" w:type="dxa"/>
          </w:tcPr>
          <w:p>
            <w:pPr>
              <w:jc w:val="both"/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>
            <w:pPr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snapToGrid w:val="0"/>
                <w:color w:val="3F3F3F" w:themeColor="text1" w:themeTint="BF"/>
                <w:sz w:val="26"/>
                <w:szCs w:val="26"/>
              </w:rPr>
              <w:t>1 11 09045 10 0000 120</w:t>
            </w:r>
          </w:p>
        </w:tc>
        <w:tc>
          <w:tcPr>
            <w:tcW w:w="5953" w:type="dxa"/>
          </w:tcPr>
          <w:p>
            <w:pPr>
              <w:jc w:val="both"/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>
            <w:pPr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snapToGrid w:val="0"/>
                <w:color w:val="3F3F3F" w:themeColor="text1" w:themeTint="BF"/>
                <w:sz w:val="26"/>
                <w:szCs w:val="26"/>
              </w:rPr>
              <w:t>1 13 02065 10 0000 130</w:t>
            </w:r>
          </w:p>
        </w:tc>
        <w:tc>
          <w:tcPr>
            <w:tcW w:w="5953" w:type="dxa"/>
          </w:tcPr>
          <w:p>
            <w:pPr>
              <w:jc w:val="both"/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>
            <w:pPr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snapToGrid w:val="0"/>
                <w:color w:val="3F3F3F" w:themeColor="text1" w:themeTint="BF"/>
                <w:sz w:val="26"/>
                <w:szCs w:val="26"/>
              </w:rPr>
              <w:t>1 16 01154 01 0000 140</w:t>
            </w:r>
          </w:p>
        </w:tc>
        <w:tc>
          <w:tcPr>
            <w:tcW w:w="5953" w:type="dxa"/>
          </w:tcPr>
          <w:p>
            <w:pPr>
              <w:jc w:val="both"/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snapToGrid w:val="0"/>
                <w:color w:val="3F3F3F" w:themeColor="text1" w:themeTint="BF"/>
                <w:sz w:val="26"/>
                <w:szCs w:val="26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>
            <w:pPr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snapToGrid w:val="0"/>
                <w:color w:val="3F3F3F" w:themeColor="text1" w:themeTint="BF"/>
                <w:sz w:val="26"/>
                <w:szCs w:val="26"/>
              </w:rPr>
              <w:t>1 16 07090 10 0000 140</w:t>
            </w:r>
          </w:p>
        </w:tc>
        <w:tc>
          <w:tcPr>
            <w:tcW w:w="5953" w:type="dxa"/>
          </w:tcPr>
          <w:p>
            <w:pPr>
              <w:jc w:val="both"/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snapToGrid w:val="0"/>
                <w:color w:val="3F3F3F" w:themeColor="text1" w:themeTint="BF"/>
                <w:sz w:val="26"/>
                <w:szCs w:val="26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>
            <w:pPr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snapToGrid w:val="0"/>
                <w:color w:val="3F3F3F" w:themeColor="text1" w:themeTint="BF"/>
                <w:sz w:val="26"/>
                <w:szCs w:val="26"/>
              </w:rPr>
              <w:t>1 16 10032 10 0000 140</w:t>
            </w:r>
          </w:p>
        </w:tc>
        <w:tc>
          <w:tcPr>
            <w:tcW w:w="5953" w:type="dxa"/>
          </w:tcPr>
          <w:p>
            <w:pPr>
              <w:jc w:val="both"/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snapToGrid w:val="0"/>
                <w:color w:val="3F3F3F" w:themeColor="text1" w:themeTint="BF"/>
                <w:sz w:val="26"/>
                <w:szCs w:val="26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>
            <w:pPr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snapToGrid w:val="0"/>
                <w:color w:val="3F3F3F" w:themeColor="text1" w:themeTint="BF"/>
                <w:sz w:val="26"/>
                <w:szCs w:val="26"/>
              </w:rPr>
              <w:t>1 16 10061 10 0000 140</w:t>
            </w:r>
          </w:p>
        </w:tc>
        <w:tc>
          <w:tcPr>
            <w:tcW w:w="5953" w:type="dxa"/>
          </w:tcPr>
          <w:p>
            <w:pPr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 и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>
            <w:pPr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snapToGrid w:val="0"/>
                <w:color w:val="3F3F3F" w:themeColor="text1" w:themeTint="BF"/>
                <w:sz w:val="26"/>
                <w:szCs w:val="26"/>
              </w:rPr>
              <w:t>1 16 10062 10 0000 140</w:t>
            </w:r>
          </w:p>
        </w:tc>
        <w:tc>
          <w:tcPr>
            <w:tcW w:w="5953" w:type="dxa"/>
          </w:tcPr>
          <w:p>
            <w:pPr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с сфере закупок товаров, работ и услуг для обеспечения государственных и муниципальных нужд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 xml:space="preserve">806 </w:t>
            </w:r>
          </w:p>
        </w:tc>
        <w:tc>
          <w:tcPr>
            <w:tcW w:w="2835" w:type="dxa"/>
          </w:tcPr>
          <w:p>
            <w:pPr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snapToGrid w:val="0"/>
                <w:color w:val="3F3F3F" w:themeColor="text1" w:themeTint="BF"/>
                <w:sz w:val="26"/>
                <w:szCs w:val="26"/>
              </w:rPr>
              <w:t>1 16 10081 10 0000 140</w:t>
            </w:r>
          </w:p>
        </w:tc>
        <w:tc>
          <w:tcPr>
            <w:tcW w:w="5953" w:type="dxa"/>
          </w:tcPr>
          <w:p>
            <w:pPr>
              <w:jc w:val="both"/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snapToGrid w:val="0"/>
                <w:color w:val="3F3F3F" w:themeColor="text1" w:themeTint="BF"/>
                <w:sz w:val="26"/>
                <w:szCs w:val="26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>
            <w:pPr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snapToGrid w:val="0"/>
                <w:color w:val="3F3F3F" w:themeColor="text1" w:themeTint="BF"/>
                <w:sz w:val="26"/>
                <w:szCs w:val="26"/>
              </w:rPr>
              <w:t>1 16 10082 10 0000 140</w:t>
            </w:r>
          </w:p>
        </w:tc>
        <w:tc>
          <w:tcPr>
            <w:tcW w:w="5953" w:type="dxa"/>
          </w:tcPr>
          <w:p>
            <w:pPr>
              <w:jc w:val="both"/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snapToGrid w:val="0"/>
                <w:color w:val="3F3F3F" w:themeColor="text1" w:themeTint="BF"/>
                <w:sz w:val="26"/>
                <w:szCs w:val="26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>
            <w:pPr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snapToGrid w:val="0"/>
                <w:color w:val="3F3F3F" w:themeColor="text1" w:themeTint="BF"/>
                <w:sz w:val="26"/>
                <w:szCs w:val="26"/>
              </w:rPr>
              <w:t>1 16 10100 10 0000 140</w:t>
            </w:r>
          </w:p>
        </w:tc>
        <w:tc>
          <w:tcPr>
            <w:tcW w:w="5953" w:type="dxa"/>
          </w:tcPr>
          <w:p>
            <w:pPr>
              <w:jc w:val="both"/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snapToGrid w:val="0"/>
                <w:color w:val="3F3F3F" w:themeColor="text1" w:themeTint="BF"/>
                <w:sz w:val="26"/>
                <w:szCs w:val="26"/>
              </w:rPr>
              <w:t>Денежные взыскания, налагаемое в возмещение ущерба, причиненного в результате незаконного или не целевого использования бюджетных средств (в части бюджетов сельских поселений)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  <w:p>
            <w:pPr>
              <w:rPr>
                <w:color w:val="3F3F3F" w:themeColor="text1" w:themeTint="BF"/>
                <w:sz w:val="26"/>
                <w:szCs w:val="26"/>
              </w:rPr>
            </w:pPr>
          </w:p>
        </w:tc>
        <w:tc>
          <w:tcPr>
            <w:tcW w:w="2835" w:type="dxa"/>
          </w:tcPr>
          <w:p>
            <w:pPr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snapToGrid w:val="0"/>
                <w:color w:val="3F3F3F" w:themeColor="text1" w:themeTint="BF"/>
                <w:sz w:val="26"/>
                <w:szCs w:val="26"/>
              </w:rPr>
              <w:t>1 17 01050 10 0000 180</w:t>
            </w:r>
          </w:p>
        </w:tc>
        <w:tc>
          <w:tcPr>
            <w:tcW w:w="5953" w:type="dxa"/>
            <w:vAlign w:val="center"/>
          </w:tcPr>
          <w:p>
            <w:pPr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Невыясненные поступления, зачисляемые в бюджеты сельских поселений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>
            <w:pPr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snapToGrid w:val="0"/>
                <w:color w:val="3F3F3F" w:themeColor="text1" w:themeTint="BF"/>
                <w:sz w:val="26"/>
                <w:szCs w:val="26"/>
              </w:rPr>
              <w:t>1 17 05050 10 0000 180</w:t>
            </w:r>
          </w:p>
        </w:tc>
        <w:tc>
          <w:tcPr>
            <w:tcW w:w="5953" w:type="dxa"/>
            <w:tcBorders>
              <w:bottom w:val="single" w:color="auto" w:sz="4" w:space="0"/>
            </w:tcBorders>
          </w:tcPr>
          <w:p>
            <w:pPr>
              <w:jc w:val="both"/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snapToGrid w:val="0"/>
                <w:color w:val="3F3F3F" w:themeColor="text1" w:themeTint="BF"/>
                <w:sz w:val="26"/>
                <w:szCs w:val="26"/>
              </w:rPr>
              <w:t>Прочие неналоговые доходы бюджетов сельских поселений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>
            <w:pPr>
              <w:rPr>
                <w:snapToGrid w:val="0"/>
                <w:color w:val="3F3F3F" w:themeColor="text1" w:themeTint="BF"/>
                <w:sz w:val="26"/>
                <w:szCs w:val="26"/>
              </w:rPr>
            </w:pPr>
            <w:r>
              <w:rPr>
                <w:snapToGrid w:val="0"/>
                <w:color w:val="3F3F3F" w:themeColor="text1" w:themeTint="BF"/>
                <w:sz w:val="26"/>
                <w:szCs w:val="26"/>
              </w:rPr>
              <w:t>2 02 15001 10 0000 150</w:t>
            </w:r>
          </w:p>
        </w:tc>
        <w:tc>
          <w:tcPr>
            <w:tcW w:w="5953" w:type="dxa"/>
            <w:tcBorders>
              <w:bottom w:val="single" w:color="auto" w:sz="4" w:space="0"/>
            </w:tcBorders>
          </w:tcPr>
          <w:p>
            <w:pPr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Дотации бюджетам сельских поселений на выравнивание бюджетной обеспеченности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  <w:p>
            <w:pPr>
              <w:rPr>
                <w:color w:val="3F3F3F" w:themeColor="text1" w:themeTint="BF"/>
                <w:sz w:val="26"/>
                <w:szCs w:val="26"/>
              </w:rPr>
            </w:pPr>
          </w:p>
          <w:p>
            <w:pPr>
              <w:rPr>
                <w:color w:val="3F3F3F" w:themeColor="text1" w:themeTint="BF"/>
                <w:sz w:val="26"/>
                <w:szCs w:val="26"/>
              </w:rPr>
            </w:pPr>
          </w:p>
        </w:tc>
        <w:tc>
          <w:tcPr>
            <w:tcW w:w="2835" w:type="dxa"/>
          </w:tcPr>
          <w:p>
            <w:pPr>
              <w:ind w:right="-365"/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2 02 16001 10 0000 150</w:t>
            </w:r>
          </w:p>
        </w:tc>
        <w:tc>
          <w:tcPr>
            <w:tcW w:w="5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>
            <w:pPr>
              <w:ind w:right="-365"/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202 16549 10 0000 150</w:t>
            </w:r>
          </w:p>
        </w:tc>
        <w:tc>
          <w:tcPr>
            <w:tcW w:w="5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Дотации (гранты) бюджетам сельских поселений за достижение показателей деятельности органов местного самоуправления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>
            <w:pPr>
              <w:ind w:right="-365"/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2 02 30024 10 0000 150</w:t>
            </w:r>
          </w:p>
        </w:tc>
        <w:tc>
          <w:tcPr>
            <w:tcW w:w="5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2 02 35118 10 0000 150</w:t>
            </w:r>
          </w:p>
        </w:tc>
        <w:tc>
          <w:tcPr>
            <w:tcW w:w="5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>
            <w:pPr>
              <w:ind w:right="-365"/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2 02 35930 10 0000 150</w:t>
            </w:r>
          </w:p>
        </w:tc>
        <w:tc>
          <w:tcPr>
            <w:tcW w:w="5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>
            <w:pPr>
              <w:ind w:right="-365"/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2 02 40014 10 0000 150</w:t>
            </w:r>
          </w:p>
        </w:tc>
        <w:tc>
          <w:tcPr>
            <w:tcW w:w="5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  <w:p>
            <w:pPr>
              <w:rPr>
                <w:color w:val="3F3F3F" w:themeColor="text1" w:themeTint="BF"/>
                <w:sz w:val="26"/>
                <w:szCs w:val="26"/>
              </w:rPr>
            </w:pPr>
          </w:p>
        </w:tc>
        <w:tc>
          <w:tcPr>
            <w:tcW w:w="2835" w:type="dxa"/>
          </w:tcPr>
          <w:p>
            <w:pPr>
              <w:ind w:right="-365"/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2 02 49999 10 0000 150</w:t>
            </w:r>
          </w:p>
        </w:tc>
        <w:tc>
          <w:tcPr>
            <w:tcW w:w="5953" w:type="dxa"/>
            <w:tcBorders>
              <w:top w:val="single" w:color="auto" w:sz="4" w:space="0"/>
            </w:tcBorders>
            <w:vAlign w:val="center"/>
          </w:tcPr>
          <w:p>
            <w:pPr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>
            <w:pPr>
              <w:ind w:right="-365"/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2 07 05030 10 0000 150</w:t>
            </w:r>
          </w:p>
        </w:tc>
        <w:tc>
          <w:tcPr>
            <w:tcW w:w="5953" w:type="dxa"/>
            <w:tcBorders>
              <w:bottom w:val="single" w:color="auto" w:sz="4" w:space="0"/>
            </w:tcBorders>
          </w:tcPr>
          <w:p>
            <w:pPr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Прочие безвозмездные поступления в бюджеты сельских поселений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  <w:p>
            <w:pPr>
              <w:rPr>
                <w:color w:val="3F3F3F" w:themeColor="text1" w:themeTint="BF"/>
                <w:sz w:val="26"/>
                <w:szCs w:val="26"/>
              </w:rPr>
            </w:pPr>
          </w:p>
          <w:p>
            <w:pPr>
              <w:rPr>
                <w:color w:val="3F3F3F" w:themeColor="text1" w:themeTint="BF"/>
                <w:sz w:val="26"/>
                <w:szCs w:val="26"/>
              </w:rPr>
            </w:pPr>
          </w:p>
        </w:tc>
        <w:tc>
          <w:tcPr>
            <w:tcW w:w="2835" w:type="dxa"/>
          </w:tcPr>
          <w:p>
            <w:pPr>
              <w:ind w:right="-365"/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2 08 05000 10 0000 150</w:t>
            </w:r>
          </w:p>
        </w:tc>
        <w:tc>
          <w:tcPr>
            <w:tcW w:w="5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>
            <w:pPr>
              <w:ind w:right="-365"/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2 18 60010 10 0000 150</w:t>
            </w:r>
          </w:p>
        </w:tc>
        <w:tc>
          <w:tcPr>
            <w:tcW w:w="5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>
            <w:pPr>
              <w:ind w:right="-365"/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2 19 60010 10 0000 150</w:t>
            </w:r>
          </w:p>
        </w:tc>
        <w:tc>
          <w:tcPr>
            <w:tcW w:w="5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both"/>
              <w:rPr>
                <w:color w:val="3F3F3F" w:themeColor="text1" w:themeTint="BF"/>
                <w:sz w:val="26"/>
                <w:szCs w:val="26"/>
              </w:rPr>
            </w:pPr>
            <w:r>
              <w:rPr>
                <w:color w:val="3F3F3F" w:themeColor="text1" w:themeTint="BF"/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>
      <w:pPr>
        <w:pStyle w:val="3"/>
        <w:spacing w:before="0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</w:rPr>
      </w:pPr>
    </w:p>
    <w:p>
      <w:pPr>
        <w:pStyle w:val="3"/>
        <w:spacing w:before="0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</w:rPr>
      </w:pPr>
    </w:p>
    <w:p>
      <w:pPr>
        <w:pStyle w:val="3"/>
        <w:spacing w:before="0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</w:rPr>
      </w:pPr>
    </w:p>
    <w:p>
      <w:pPr>
        <w:pStyle w:val="3"/>
        <w:spacing w:before="0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</w:rPr>
      </w:pPr>
    </w:p>
    <w:p>
      <w:pPr>
        <w:pStyle w:val="3"/>
        <w:spacing w:before="0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</w:rPr>
      </w:pPr>
    </w:p>
    <w:p>
      <w:pPr>
        <w:pStyle w:val="3"/>
        <w:spacing w:before="0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</w:rPr>
      </w:pPr>
    </w:p>
    <w:p>
      <w:pPr>
        <w:pStyle w:val="3"/>
        <w:spacing w:before="0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</w:rPr>
      </w:pPr>
    </w:p>
    <w:p>
      <w:pPr>
        <w:pStyle w:val="3"/>
        <w:spacing w:before="0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</w:rPr>
      </w:pPr>
    </w:p>
    <w:p>
      <w:pPr>
        <w:pStyle w:val="3"/>
        <w:spacing w:before="0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</w:rPr>
      </w:pPr>
    </w:p>
    <w:p>
      <w:pPr>
        <w:pStyle w:val="3"/>
        <w:spacing w:before="0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</w:rPr>
      </w:pPr>
    </w:p>
    <w:p>
      <w:pPr>
        <w:pStyle w:val="3"/>
        <w:spacing w:before="0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</w:rPr>
      </w:pPr>
    </w:p>
    <w:p>
      <w:pPr>
        <w:pStyle w:val="3"/>
        <w:spacing w:before="0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</w:rPr>
      </w:pPr>
    </w:p>
    <w:p>
      <w:pPr>
        <w:pStyle w:val="3"/>
        <w:spacing w:before="0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</w:rPr>
      </w:pPr>
    </w:p>
    <w:p>
      <w:pPr>
        <w:pStyle w:val="3"/>
        <w:spacing w:before="0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</w:rPr>
      </w:pPr>
    </w:p>
    <w:p>
      <w:pPr>
        <w:pStyle w:val="3"/>
        <w:spacing w:before="0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</w:rPr>
      </w:pPr>
    </w:p>
    <w:p>
      <w:pPr>
        <w:pStyle w:val="3"/>
        <w:spacing w:before="0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</w:rPr>
      </w:pPr>
    </w:p>
    <w:p>
      <w:pPr>
        <w:pStyle w:val="3"/>
        <w:spacing w:before="0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</w:rPr>
      </w:pPr>
    </w:p>
    <w:p>
      <w:pPr>
        <w:pStyle w:val="3"/>
        <w:spacing w:before="0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</w:rPr>
      </w:pPr>
    </w:p>
    <w:p>
      <w:pPr>
        <w:pStyle w:val="3"/>
        <w:spacing w:before="0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</w:rPr>
      </w:pPr>
    </w:p>
    <w:p>
      <w:pPr>
        <w:pStyle w:val="3"/>
        <w:spacing w:before="0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</w:rPr>
      </w:pPr>
    </w:p>
    <w:p>
      <w:pPr>
        <w:rPr>
          <w:color w:val="3F3F3F" w:themeColor="text1" w:themeTint="BF"/>
        </w:rPr>
      </w:pPr>
    </w:p>
    <w:p>
      <w:pPr>
        <w:rPr>
          <w:color w:val="3F3F3F" w:themeColor="text1" w:themeTint="BF"/>
        </w:rPr>
      </w:pPr>
    </w:p>
    <w:p>
      <w:pPr>
        <w:pStyle w:val="3"/>
        <w:spacing w:before="0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</w:rPr>
      </w:pPr>
    </w:p>
    <w:p/>
    <w:p/>
    <w:p/>
    <w:p/>
    <w:p/>
    <w:p/>
    <w:p/>
    <w:p/>
    <w:p/>
    <w:p/>
    <w:p/>
    <w:p/>
    <w:p/>
    <w:p/>
    <w:p/>
    <w:p/>
    <w:p>
      <w:pPr>
        <w:rPr>
          <w:color w:val="3F3F3F" w:themeColor="text1" w:themeTint="BF"/>
          <w:sz w:val="26"/>
          <w:szCs w:val="26"/>
        </w:rPr>
      </w:pPr>
    </w:p>
    <w:p>
      <w:pPr>
        <w:rPr>
          <w:color w:val="3F3F3F" w:themeColor="text1" w:themeTint="BF"/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3F3F3F" w:themeColor="text1" w:themeTint="BF"/>
          <w:sz w:val="28"/>
          <w:szCs w:val="28"/>
        </w:rPr>
        <w:t>Приложение № 2</w:t>
      </w:r>
    </w:p>
    <w:p>
      <w:pPr>
        <w:spacing w:line="240" w:lineRule="exact"/>
        <w:jc w:val="right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к постановлению администрации</w:t>
      </w:r>
    </w:p>
    <w:p>
      <w:pPr>
        <w:spacing w:line="240" w:lineRule="exact"/>
        <w:jc w:val="right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Согдинского сельского поселения</w:t>
      </w:r>
    </w:p>
    <w:p>
      <w:pPr>
        <w:spacing w:line="240" w:lineRule="exact"/>
        <w:jc w:val="right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от 10.12.2019 № 43</w:t>
      </w:r>
    </w:p>
    <w:p>
      <w:pPr>
        <w:pStyle w:val="3"/>
        <w:spacing w:line="240" w:lineRule="exact"/>
        <w:jc w:val="center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П О Р Я Д О К</w:t>
      </w:r>
    </w:p>
    <w:p>
      <w:pPr>
        <w:spacing w:line="240" w:lineRule="exact"/>
        <w:jc w:val="center"/>
        <w:rPr>
          <w:b/>
          <w:bCs/>
          <w:color w:val="3F3F3F" w:themeColor="text1" w:themeTint="BF"/>
          <w:sz w:val="28"/>
          <w:szCs w:val="28"/>
        </w:rPr>
      </w:pPr>
      <w:r>
        <w:rPr>
          <w:b/>
          <w:bCs/>
          <w:color w:val="3F3F3F" w:themeColor="text1" w:themeTint="BF"/>
          <w:sz w:val="28"/>
          <w:szCs w:val="28"/>
        </w:rPr>
        <w:t>исполнения функций Администратора доходов бюджета</w:t>
      </w:r>
    </w:p>
    <w:p>
      <w:pPr>
        <w:spacing w:line="240" w:lineRule="exact"/>
        <w:jc w:val="center"/>
        <w:rPr>
          <w:color w:val="3F3F3F" w:themeColor="text1" w:themeTint="BF"/>
          <w:sz w:val="28"/>
          <w:szCs w:val="28"/>
        </w:rPr>
      </w:pPr>
      <w:r>
        <w:rPr>
          <w:b/>
          <w:bCs/>
          <w:color w:val="3F3F3F" w:themeColor="text1" w:themeTint="BF"/>
          <w:sz w:val="28"/>
          <w:szCs w:val="28"/>
        </w:rPr>
        <w:t>по администрированию поступлений в бюджет</w:t>
      </w:r>
    </w:p>
    <w:p>
      <w:pPr>
        <w:jc w:val="center"/>
        <w:rPr>
          <w:color w:val="3F3F3F" w:themeColor="text1" w:themeTint="BF"/>
          <w:sz w:val="28"/>
          <w:szCs w:val="28"/>
        </w:rPr>
      </w:pPr>
    </w:p>
    <w:p>
      <w:pPr>
        <w:jc w:val="center"/>
        <w:rPr>
          <w:b/>
          <w:bCs/>
          <w:color w:val="3F3F3F" w:themeColor="text1" w:themeTint="BF"/>
          <w:sz w:val="28"/>
          <w:szCs w:val="28"/>
        </w:rPr>
      </w:pPr>
      <w:r>
        <w:rPr>
          <w:b/>
          <w:bCs/>
          <w:color w:val="3F3F3F" w:themeColor="text1" w:themeTint="BF"/>
          <w:sz w:val="28"/>
          <w:szCs w:val="28"/>
          <w:lang w:val="en-US"/>
        </w:rPr>
        <w:t>I</w:t>
      </w:r>
      <w:r>
        <w:rPr>
          <w:b/>
          <w:bCs/>
          <w:color w:val="3F3F3F" w:themeColor="text1" w:themeTint="BF"/>
          <w:sz w:val="28"/>
          <w:szCs w:val="28"/>
        </w:rPr>
        <w:t>. Общие положения</w:t>
      </w:r>
    </w:p>
    <w:p>
      <w:pPr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1. Настоящий порядок устанавливает общие правила исполнения функций Администратора доходов бюджета Администрацией Согдинского сельского поселения.</w:t>
      </w:r>
    </w:p>
    <w:p>
      <w:pPr>
        <w:jc w:val="both"/>
        <w:rPr>
          <w:color w:val="3F3F3F" w:themeColor="text1" w:themeTint="BF"/>
          <w:sz w:val="28"/>
          <w:szCs w:val="28"/>
          <w:u w:val="single"/>
        </w:rPr>
      </w:pPr>
    </w:p>
    <w:p>
      <w:pPr>
        <w:jc w:val="center"/>
        <w:rPr>
          <w:b/>
          <w:bCs/>
          <w:color w:val="3F3F3F" w:themeColor="text1" w:themeTint="BF"/>
          <w:sz w:val="28"/>
          <w:szCs w:val="28"/>
        </w:rPr>
      </w:pPr>
      <w:r>
        <w:rPr>
          <w:b/>
          <w:bCs/>
          <w:color w:val="3F3F3F" w:themeColor="text1" w:themeTint="BF"/>
          <w:sz w:val="28"/>
          <w:szCs w:val="28"/>
          <w:lang w:val="en-US"/>
        </w:rPr>
        <w:t>II</w:t>
      </w:r>
      <w:r>
        <w:rPr>
          <w:b/>
          <w:bCs/>
          <w:color w:val="3F3F3F" w:themeColor="text1" w:themeTint="BF"/>
          <w:sz w:val="28"/>
          <w:szCs w:val="28"/>
        </w:rPr>
        <w:t>.Бюджетные полномочия Администраторадоходов бюджета</w:t>
      </w:r>
    </w:p>
    <w:p>
      <w:pPr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1. Администрация Согдинского сельского поселения Верхнебуреинского муниципального района Хабаровского края наделено в отношении закрепленных за ним доходов следующими бюджетными полномочиями:</w:t>
      </w:r>
    </w:p>
    <w:p>
      <w:pPr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а) начисление, персонифицированный учет начисленных и поступивших сумм платежей, контроль за правильностью исчисления, полнотой и своевременностью осуществления платежей в бюджет, пеней и штрафов по ним;</w:t>
      </w:r>
    </w:p>
    <w:p>
      <w:pPr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б) взыскание задолженности по платежам в бюджет, пеней и штрафов;</w:t>
      </w:r>
    </w:p>
    <w:p>
      <w:pPr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в) принятие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предоставленные в орган Федерального казначейства поручений для осуществления возврата в порядке, установленном Министерством финансов Российской Федерации;</w:t>
      </w:r>
    </w:p>
    <w:p>
      <w:pPr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г) принятие решений о зачете (уточнении) платежей в бюджет и представление соответствующего уведомления в орган Федерального казначейства.</w:t>
      </w:r>
    </w:p>
    <w:p>
      <w:pPr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2.При принятии решений о возврате излишне уплаченных (взысканных) платежей, а также решения об уточнении вида и принадлежности платежей в бюджет, Администратор руководствуется следующими Правилами осуществления возврата (уточнения):</w:t>
      </w:r>
    </w:p>
    <w:p>
      <w:pPr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а) согласно письменному запросу плательщика с обязательным приложением оправдательных документов и в соответствии с  Законодательством Российской Федерации Администратор определяет сумму платежа, подлежащую возврату (уточнению);</w:t>
      </w:r>
    </w:p>
    <w:p>
      <w:pPr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б) Администратор при расчете суммы платежа, подлежащей возврату  (уточнению), оперирует исключительно данными выписок из лицевых счетов администратора доходов бюджета, доведенных Администратору территориальным органом Федерального казначейства;</w:t>
      </w:r>
    </w:p>
    <w:p>
      <w:pPr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в) в случае отклонения суммы платежа, признанной (исчисленной) Администратором излишне уплаченной и подлежащей возврату (уточнению) от запрашиваемой плательщиком к возврату (уточнению) суммы платежа, Администратор корректирует (уменьшает) сумму возврата (уточнения) на величину отклонения.</w:t>
      </w:r>
    </w:p>
    <w:p>
      <w:pPr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Администратор своевременно производит уточнение (выяснение) принадлежности поступлений, отнесенных органом Федерального казначейства к невыясненным поступлениям и включенных в Запрос на выяснение принадлежности платежа для администратора доходов бюджета.</w:t>
      </w:r>
    </w:p>
    <w:p>
      <w:pPr>
        <w:pStyle w:val="3"/>
        <w:jc w:val="center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. Основные положения по администрированию доходов</w:t>
      </w:r>
    </w:p>
    <w:p>
      <w:pPr>
        <w:pStyle w:val="10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</w:rPr>
        <w:t>1. Для осуществления своих полномочий Администратор:</w:t>
      </w:r>
    </w:p>
    <w:p>
      <w:pPr>
        <w:pStyle w:val="10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</w:rPr>
        <w:t>а) заключает с Управлением Федерального казначейства по месту юридической регистрации Договор об обмене электронными документами с использованием электронной цифровой подписи;</w:t>
      </w:r>
    </w:p>
    <w:p>
      <w:pPr>
        <w:pStyle w:val="10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</w:rPr>
        <w:t>б) взаимодействует с территориальным органом  Федерального казначейства в соответствии с приказами Министерства финансов Российской Федерации и Федерального казначейства;</w:t>
      </w:r>
    </w:p>
    <w:p>
      <w:pPr>
        <w:pStyle w:val="10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</w:rPr>
        <w:t>в) организует работу по администрированию поступлений в соответствии с требованиями бюджетного учета установленными приказом Министерства финансов Российской Федерации от 01 декабря 2011 г. № 178н «Об утверждении единого плана счетов бухгалтерского учета», приказа министерства финансов Российской Федерации  01 декабря 2010 г. № 157н «Об утверждении инструкции по бюджетному учёту».</w:t>
      </w:r>
    </w:p>
    <w:p>
      <w:pPr>
        <w:pStyle w:val="10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</w:rPr>
        <w:t>1. Администратор доходов бюджета при  взаимодействии с плательщиками выполняет следующие функции:</w:t>
      </w:r>
    </w:p>
    <w:p>
      <w:pPr>
        <w:pStyle w:val="10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</w:rPr>
        <w:t>а) доводит по закрепленным источникам доходов до плательщиков соответствующие образцы платежных документов (платежных поручений, квитанций) на перечисление средств в бюджетную систему Российской Федерации оформленных в соответствии с приказом Министерства финансов Российской Федерации от 06 декабря 2010 г. № 162н «Об утверждении плана счетов бюджетного учёта и инструкции по его применению».</w:t>
      </w:r>
    </w:p>
    <w:p>
      <w:pPr>
        <w:pStyle w:val="10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</w:rPr>
        <w:t>б) осуществляют организацию разъяснительной работы среди плательщиков платежей в бюджеты бюджетной системы Российской Федерации во избежание ошибок при заполнении платежных документов.</w:t>
      </w:r>
    </w:p>
    <w:p>
      <w:pPr>
        <w:pStyle w:val="10"/>
        <w:ind w:firstLine="567"/>
        <w:jc w:val="both"/>
        <w:rPr>
          <w:color w:val="3F3F3F" w:themeColor="text1" w:themeTint="BF"/>
        </w:rPr>
      </w:pPr>
      <w:r>
        <w:rPr>
          <w:color w:val="3F3F3F" w:themeColor="text1" w:themeTint="BF"/>
        </w:rPr>
        <w:t>Администратор доходов бюджета представляет в Финансовое управление администрации Верхнебуреинского муниципального района Хабаровского края  бюджетную отчетность по доходам в порядке и сроки, установленные Инструкцией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№ 191н.</w:t>
      </w:r>
    </w:p>
    <w:p>
      <w:pPr>
        <w:ind w:firstLine="708"/>
        <w:jc w:val="both"/>
        <w:rPr>
          <w:color w:val="3F3F3F" w:themeColor="text1" w:themeTint="BF"/>
          <w:sz w:val="28"/>
          <w:szCs w:val="28"/>
        </w:rPr>
      </w:pPr>
    </w:p>
    <w:p>
      <w:pPr>
        <w:jc w:val="center"/>
        <w:rPr>
          <w:b/>
          <w:bCs/>
          <w:color w:val="3F3F3F" w:themeColor="text1" w:themeTint="BF"/>
          <w:sz w:val="28"/>
          <w:szCs w:val="28"/>
        </w:rPr>
      </w:pPr>
      <w:r>
        <w:rPr>
          <w:b/>
          <w:bCs/>
          <w:color w:val="3F3F3F" w:themeColor="text1" w:themeTint="BF"/>
          <w:sz w:val="28"/>
          <w:szCs w:val="28"/>
          <w:lang w:val="en-US"/>
        </w:rPr>
        <w:t>IV</w:t>
      </w:r>
      <w:r>
        <w:rPr>
          <w:b/>
          <w:bCs/>
          <w:color w:val="3F3F3F" w:themeColor="text1" w:themeTint="BF"/>
          <w:sz w:val="28"/>
          <w:szCs w:val="28"/>
        </w:rPr>
        <w:t>. Заключительные положения</w:t>
      </w:r>
    </w:p>
    <w:p>
      <w:pPr>
        <w:pStyle w:val="9"/>
        <w:spacing w:line="240" w:lineRule="auto"/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1. Если положения настоящего Порядка противоречат принятым или принимаемым нормативно-правовым актам, Администратор руководствуется в своей деятельности этими актами вплоть до внесения изменений в настоящий Порядок.</w:t>
      </w:r>
    </w:p>
    <w:p>
      <w:pPr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</w:p>
    <w:p>
      <w:pPr>
        <w:jc w:val="center"/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</w:p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NotTrackMoves/>
  <w:documentProtection w:enforcement="0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A278C"/>
    <w:rsid w:val="00071729"/>
    <w:rsid w:val="00080FFD"/>
    <w:rsid w:val="000C72D9"/>
    <w:rsid w:val="001239B2"/>
    <w:rsid w:val="00127C84"/>
    <w:rsid w:val="001761A8"/>
    <w:rsid w:val="001935B1"/>
    <w:rsid w:val="001947A6"/>
    <w:rsid w:val="001F06B9"/>
    <w:rsid w:val="00233329"/>
    <w:rsid w:val="00272976"/>
    <w:rsid w:val="002967F3"/>
    <w:rsid w:val="002D7E49"/>
    <w:rsid w:val="002E454C"/>
    <w:rsid w:val="00316C72"/>
    <w:rsid w:val="00324A6B"/>
    <w:rsid w:val="003445C2"/>
    <w:rsid w:val="003636A8"/>
    <w:rsid w:val="00384C94"/>
    <w:rsid w:val="00387E79"/>
    <w:rsid w:val="003E3B1B"/>
    <w:rsid w:val="00441F39"/>
    <w:rsid w:val="0046363A"/>
    <w:rsid w:val="004A2710"/>
    <w:rsid w:val="004A59F5"/>
    <w:rsid w:val="00504974"/>
    <w:rsid w:val="00504A08"/>
    <w:rsid w:val="00507861"/>
    <w:rsid w:val="0051440E"/>
    <w:rsid w:val="0056374C"/>
    <w:rsid w:val="005861C1"/>
    <w:rsid w:val="005A18BB"/>
    <w:rsid w:val="005C4BEB"/>
    <w:rsid w:val="00607FC3"/>
    <w:rsid w:val="00643B60"/>
    <w:rsid w:val="00676940"/>
    <w:rsid w:val="006C709C"/>
    <w:rsid w:val="006F46A0"/>
    <w:rsid w:val="00704F58"/>
    <w:rsid w:val="00724B3A"/>
    <w:rsid w:val="0075606A"/>
    <w:rsid w:val="00777320"/>
    <w:rsid w:val="007A2B40"/>
    <w:rsid w:val="007F31BD"/>
    <w:rsid w:val="0083497B"/>
    <w:rsid w:val="00894B5C"/>
    <w:rsid w:val="00894B5F"/>
    <w:rsid w:val="008E77ED"/>
    <w:rsid w:val="00922ABA"/>
    <w:rsid w:val="00930BC5"/>
    <w:rsid w:val="00977142"/>
    <w:rsid w:val="009B2FB4"/>
    <w:rsid w:val="009B6BFC"/>
    <w:rsid w:val="009F4D9F"/>
    <w:rsid w:val="00A01DEF"/>
    <w:rsid w:val="00A37DEE"/>
    <w:rsid w:val="00A97E0B"/>
    <w:rsid w:val="00AD2FFA"/>
    <w:rsid w:val="00B302FB"/>
    <w:rsid w:val="00B61D5B"/>
    <w:rsid w:val="00B7542D"/>
    <w:rsid w:val="00B91CEA"/>
    <w:rsid w:val="00BA1153"/>
    <w:rsid w:val="00BD44F3"/>
    <w:rsid w:val="00BD5BCC"/>
    <w:rsid w:val="00BF487D"/>
    <w:rsid w:val="00C3171F"/>
    <w:rsid w:val="00C83200"/>
    <w:rsid w:val="00CE5BF0"/>
    <w:rsid w:val="00D05B6C"/>
    <w:rsid w:val="00D51BE1"/>
    <w:rsid w:val="00DA2230"/>
    <w:rsid w:val="00DA278C"/>
    <w:rsid w:val="00E129E2"/>
    <w:rsid w:val="00E3143E"/>
    <w:rsid w:val="00E328CE"/>
    <w:rsid w:val="00E32FE8"/>
    <w:rsid w:val="00E40F9A"/>
    <w:rsid w:val="00E43821"/>
    <w:rsid w:val="00E94EA6"/>
    <w:rsid w:val="00ED3B9D"/>
    <w:rsid w:val="00EF56BA"/>
    <w:rsid w:val="00F30A3E"/>
    <w:rsid w:val="00F3227E"/>
    <w:rsid w:val="00F324E4"/>
    <w:rsid w:val="00F43EC0"/>
    <w:rsid w:val="00F45D1E"/>
    <w:rsid w:val="1AD53756"/>
    <w:rsid w:val="353047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nhideWhenUsed="0" w:uiPriority="99" w:semiHidden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nhideWhenUsed="0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11"/>
    <w:qFormat/>
    <w:uiPriority w:val="99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3">
    <w:name w:val="heading 2"/>
    <w:basedOn w:val="1"/>
    <w:next w:val="1"/>
    <w:link w:val="12"/>
    <w:qFormat/>
    <w:uiPriority w:val="99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4">
    <w:name w:val="heading 4"/>
    <w:basedOn w:val="1"/>
    <w:next w:val="1"/>
    <w:link w:val="13"/>
    <w:qFormat/>
    <w:uiPriority w:val="9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9"/>
    <w:basedOn w:val="1"/>
    <w:next w:val="1"/>
    <w:link w:val="14"/>
    <w:qFormat/>
    <w:locked/>
    <w:uiPriority w:val="9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17"/>
    <w:semiHidden/>
    <w:uiPriority w:val="99"/>
    <w:rPr>
      <w:rFonts w:ascii="Tahoma" w:hAnsi="Tahoma" w:cs="Tahoma"/>
      <w:sz w:val="16"/>
      <w:szCs w:val="16"/>
    </w:rPr>
  </w:style>
  <w:style w:type="paragraph" w:styleId="9">
    <w:name w:val="Body Text 2"/>
    <w:basedOn w:val="1"/>
    <w:link w:val="18"/>
    <w:semiHidden/>
    <w:uiPriority w:val="99"/>
    <w:pPr>
      <w:spacing w:after="120" w:line="480" w:lineRule="auto"/>
    </w:pPr>
  </w:style>
  <w:style w:type="paragraph" w:styleId="10">
    <w:name w:val="Body Text"/>
    <w:basedOn w:val="1"/>
    <w:link w:val="15"/>
    <w:semiHidden/>
    <w:uiPriority w:val="99"/>
    <w:rPr>
      <w:sz w:val="28"/>
      <w:szCs w:val="28"/>
    </w:rPr>
  </w:style>
  <w:style w:type="character" w:customStyle="1" w:styleId="11">
    <w:name w:val="Заголовок 1 Знак"/>
    <w:link w:val="2"/>
    <w:locked/>
    <w:uiPriority w:val="99"/>
    <w:rPr>
      <w:rFonts w:ascii="Cambria" w:hAnsi="Cambria" w:cs="Cambria"/>
      <w:b/>
      <w:bCs/>
      <w:color w:val="365F91"/>
      <w:sz w:val="28"/>
      <w:szCs w:val="28"/>
      <w:lang w:eastAsia="ru-RU"/>
    </w:rPr>
  </w:style>
  <w:style w:type="character" w:customStyle="1" w:styleId="12">
    <w:name w:val="Заголовок 2 Знак"/>
    <w:link w:val="3"/>
    <w:semiHidden/>
    <w:locked/>
    <w:uiPriority w:val="99"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13">
    <w:name w:val="Заголовок 4 Знак"/>
    <w:link w:val="4"/>
    <w:locked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14">
    <w:name w:val="Заголовок 9 Знак"/>
    <w:link w:val="5"/>
    <w:semiHidden/>
    <w:locked/>
    <w:uiPriority w:val="99"/>
    <w:rPr>
      <w:rFonts w:ascii="Cambria" w:hAnsi="Cambria" w:cs="Cambria"/>
    </w:rPr>
  </w:style>
  <w:style w:type="character" w:customStyle="1" w:styleId="15">
    <w:name w:val="Основной текст Знак"/>
    <w:link w:val="10"/>
    <w:semiHidden/>
    <w:locked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6">
    <w:name w:val="ConsPlusTitle"/>
    <w:uiPriority w:val="99"/>
    <w:pPr>
      <w:widowControl w:val="0"/>
      <w:autoSpaceDE w:val="0"/>
      <w:autoSpaceDN w:val="0"/>
      <w:adjustRightInd w:val="0"/>
    </w:pPr>
    <w:rPr>
      <w:rFonts w:ascii="Calibri" w:hAnsi="Calibri" w:eastAsia="Times New Roman" w:cs="Calibri"/>
      <w:b/>
      <w:bCs/>
      <w:sz w:val="22"/>
      <w:szCs w:val="22"/>
      <w:lang w:val="ru-RU" w:eastAsia="ru-RU" w:bidi="ar-SA"/>
    </w:rPr>
  </w:style>
  <w:style w:type="character" w:customStyle="1" w:styleId="17">
    <w:name w:val="Текст выноски Знак"/>
    <w:link w:val="8"/>
    <w:semiHidden/>
    <w:locked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18">
    <w:name w:val="Основной текст 2 Знак"/>
    <w:link w:val="9"/>
    <w:semiHidden/>
    <w:qFormat/>
    <w:locked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9">
    <w:name w:val="Знак"/>
    <w:basedOn w:val="1"/>
    <w:uiPriority w:val="99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20">
    <w:name w:val="blk1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1</Company>
  <Pages>1</Pages>
  <Words>1879</Words>
  <Characters>10714</Characters>
  <Lines>89</Lines>
  <Paragraphs>25</Paragraphs>
  <TotalTime>202</TotalTime>
  <ScaleCrop>false</ScaleCrop>
  <LinksUpToDate>false</LinksUpToDate>
  <CharactersWithSpaces>12568</CharactersWithSpaces>
  <Application>WPS Office_11.2.0.11130_F1E327BC-269C-435d-A152-05C5408002CA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2015-12-09T00:51:00Z</dcterms:created>
  <dc:creator>Марина</dc:creator>
  <cp:lastModifiedBy>nastr</cp:lastModifiedBy>
  <cp:lastPrinted>2016-01-14T02:50:00Z</cp:lastPrinted>
  <dcterms:modified xsi:type="dcterms:W3CDTF">2022-05-25T04:57:53Z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9F194866527044DCB52046C280438B86</vt:lpwstr>
  </property>
</Properties>
</file>