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color w:val="333333"/>
          <w:sz w:val="28"/>
          <w:szCs w:val="28"/>
        </w:rPr>
      </w:pPr>
      <w:bookmarkStart w:id="0" w:name="_GoBack"/>
      <w:bookmarkEnd w:id="0"/>
      <w:r>
        <w:rPr>
          <w:b/>
          <w:color w:val="333333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color w:val="404040"/>
          <w:sz w:val="28"/>
          <w:szCs w:val="28"/>
        </w:rPr>
      </w:pPr>
      <w:r>
        <w:rPr>
          <w:b/>
          <w:color w:val="404040"/>
          <w:sz w:val="28"/>
          <w:szCs w:val="28"/>
        </w:rPr>
        <w:t>АДМИНИСТРАЦИЯ</w:t>
      </w:r>
    </w:p>
    <w:p>
      <w:pPr>
        <w:jc w:val="center"/>
        <w:rPr>
          <w:b/>
          <w:color w:val="404040"/>
          <w:sz w:val="28"/>
          <w:szCs w:val="28"/>
        </w:rPr>
      </w:pPr>
      <w:r>
        <w:rPr>
          <w:b/>
          <w:color w:val="404040"/>
          <w:sz w:val="28"/>
          <w:szCs w:val="28"/>
        </w:rPr>
        <w:t>СОГДИНСКОГО СЕЛЬСКОГО ПОСЕЛЕНИЯ</w:t>
      </w:r>
    </w:p>
    <w:p>
      <w:pPr>
        <w:jc w:val="center"/>
        <w:rPr>
          <w:b/>
          <w:color w:val="404040"/>
          <w:sz w:val="28"/>
          <w:szCs w:val="28"/>
        </w:rPr>
      </w:pPr>
      <w:r>
        <w:rPr>
          <w:b/>
          <w:color w:val="404040"/>
          <w:sz w:val="28"/>
          <w:szCs w:val="28"/>
        </w:rPr>
        <w:t>ВЕРХНЕБУРЕИНСКОГО МУНИЦИПАЛЬНОГО РАЙОНА</w:t>
      </w:r>
    </w:p>
    <w:p>
      <w:pPr>
        <w:jc w:val="center"/>
        <w:rPr>
          <w:b/>
          <w:color w:val="404040"/>
          <w:sz w:val="28"/>
          <w:szCs w:val="28"/>
        </w:rPr>
      </w:pPr>
      <w:r>
        <w:rPr>
          <w:b/>
          <w:color w:val="404040"/>
          <w:sz w:val="28"/>
          <w:szCs w:val="28"/>
        </w:rPr>
        <w:t>Хабаровского края</w:t>
      </w:r>
    </w:p>
    <w:p>
      <w:pPr>
        <w:jc w:val="center"/>
        <w:rPr>
          <w:b/>
          <w:color w:val="404040"/>
          <w:sz w:val="28"/>
          <w:szCs w:val="28"/>
        </w:rPr>
      </w:pPr>
    </w:p>
    <w:p>
      <w:pPr>
        <w:jc w:val="center"/>
        <w:rPr>
          <w:b/>
          <w:color w:val="404040"/>
          <w:sz w:val="28"/>
          <w:szCs w:val="28"/>
        </w:rPr>
      </w:pPr>
      <w:r>
        <w:rPr>
          <w:b/>
          <w:color w:val="404040"/>
          <w:sz w:val="28"/>
          <w:szCs w:val="28"/>
        </w:rPr>
        <w:t>ПОСТАНОВЛЕНИЕ</w:t>
      </w:r>
    </w:p>
    <w:tbl>
      <w:tblPr>
        <w:tblStyle w:val="5"/>
        <w:tblpPr w:leftFromText="180" w:rightFromText="180" w:vertAnchor="text" w:horzAnchor="margin" w:tblpY="14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color w:val="404040"/>
                <w:sz w:val="28"/>
                <w:szCs w:val="28"/>
                <w:highlight w:val="red"/>
                <w:u w:val="single"/>
              </w:rPr>
            </w:pPr>
          </w:p>
          <w:p>
            <w:pPr>
              <w:jc w:val="center"/>
              <w:rPr>
                <w:color w:val="404040"/>
                <w:sz w:val="28"/>
                <w:szCs w:val="28"/>
                <w:u w:val="single"/>
              </w:rPr>
            </w:pPr>
            <w:r>
              <w:rPr>
                <w:color w:val="404040"/>
                <w:sz w:val="28"/>
                <w:szCs w:val="28"/>
                <w:u w:val="single"/>
              </w:rPr>
              <w:t>15.10.2019 № 34</w:t>
            </w:r>
          </w:p>
          <w:p>
            <w:pPr>
              <w:jc w:val="center"/>
              <w:rPr>
                <w:color w:val="404040"/>
                <w:highlight w:val="red"/>
              </w:rPr>
            </w:pPr>
            <w:r>
              <w:rPr>
                <w:color w:val="404040"/>
              </w:rPr>
              <w:t>с. Согда</w:t>
            </w:r>
          </w:p>
        </w:tc>
      </w:tr>
    </w:tbl>
    <w:p>
      <w:pPr>
        <w:rPr>
          <w:color w:val="404040"/>
          <w:sz w:val="28"/>
          <w:szCs w:val="28"/>
        </w:rPr>
      </w:pPr>
    </w:p>
    <w:p>
      <w:pPr>
        <w:rPr>
          <w:color w:val="404040"/>
          <w:sz w:val="28"/>
          <w:szCs w:val="28"/>
        </w:rPr>
      </w:pPr>
    </w:p>
    <w:p>
      <w:pPr>
        <w:rPr>
          <w:color w:val="404040"/>
          <w:sz w:val="28"/>
          <w:szCs w:val="28"/>
        </w:rPr>
      </w:pPr>
    </w:p>
    <w:p>
      <w:pPr>
        <w:rPr>
          <w:color w:val="404040"/>
          <w:sz w:val="28"/>
          <w:szCs w:val="28"/>
        </w:rPr>
      </w:pPr>
    </w:p>
    <w:tbl>
      <w:tblPr>
        <w:tblStyle w:val="5"/>
        <w:tblpPr w:leftFromText="180" w:rightFromText="180" w:vertAnchor="text" w:horzAnchor="margin" w:tblpY="58"/>
        <w:tblW w:w="9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95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/>
              <w:jc w:val="both"/>
              <w:rPr>
                <w:color w:val="3F3F3F" w:themeColor="text1" w:themeTint="BF"/>
                <w:sz w:val="28"/>
                <w:szCs w:val="28"/>
              </w:rPr>
            </w:pPr>
            <w:r>
              <w:rPr>
                <w:color w:val="3F3F3F" w:themeColor="text1" w:themeTint="BF"/>
                <w:sz w:val="28"/>
                <w:szCs w:val="28"/>
              </w:rPr>
              <w:t>О внесении изменений в постановление администрации Согдинского сельского поселения от 19.10.2018 г. № 22 «Об утверждении Методики прогнозирования поступлений доходов в бюджет, главным администратором которых является администрация Согдинского сельского поселения Верхнебуреинского муниципального района»</w:t>
            </w:r>
          </w:p>
        </w:tc>
      </w:tr>
    </w:tbl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pStyle w:val="2"/>
        <w:shd w:val="clear" w:color="auto" w:fill="FFFFFF"/>
        <w:spacing w:before="0" w:line="312" w:lineRule="atLeast"/>
        <w:ind w:firstLine="567"/>
        <w:jc w:val="both"/>
        <w:rPr>
          <w:rFonts w:ascii="Times New Roman" w:hAnsi="Times New Roman" w:eastAsia="Times New Roman" w:cs="Times New Roman"/>
          <w:bCs/>
          <w:color w:val="3F3F3F" w:themeColor="text1" w:themeTint="BF"/>
          <w:kern w:val="36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Руководствуясь статьей 160.1 Бюджетного кодекса Российской Федерации, постановлением Правительства Российской Федерации от 11.04.2017 г. № 436 «О внесении изменений в постановление Правительства Российской Федерации от 23 июня 2016 г. № 574», Приказом от 06.12.2010 г. № 162н «Об утверждении планов счетов бюджетного учета и инструкции по его применению», </w:t>
      </w:r>
      <w:r>
        <w:rPr>
          <w:rFonts w:ascii="Times New Roman" w:hAnsi="Times New Roman" w:eastAsia="Times New Roman" w:cs="Times New Roman"/>
          <w:bCs/>
          <w:color w:val="3F3F3F" w:themeColor="text1" w:themeTint="BF"/>
          <w:kern w:val="36"/>
          <w:sz w:val="28"/>
          <w:szCs w:val="28"/>
        </w:rPr>
        <w:t>Приказом Минфина России от 06.06.2019 г. № 85н «О Порядке формирования и применения кодов бюджетной классификации Российской Федерации, их структуре и принципах назначения» (Зарегистрировано в Минюсте России 08.07.2019 г. № 55171), Приказом Минфина России от 17.09.2019 г. № 148н «О внесении изменений в Порядок формирования и применения кодов бюджетной классификации Российской Федерации, их структуру и принципы назначения, утвержденные приказом Министерства финансов Российской Федерации от 6 июня 2019 г. № 85н» (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Зарегистрировано в Минюсте России от 15.10.2019 г. № 56231)</w:t>
      </w:r>
      <w:r>
        <w:rPr>
          <w:rFonts w:ascii="Times New Roman" w:hAnsi="Times New Roman" w:eastAsia="Times New Roman" w:cs="Times New Roman"/>
          <w:bCs/>
          <w:color w:val="3F3F3F" w:themeColor="text1" w:themeTint="BF"/>
          <w:kern w:val="36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администрация  Согдинского сельского поселения</w:t>
      </w:r>
    </w:p>
    <w:p>
      <w:pPr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ПОСТАНОВЛЯЕТ:</w:t>
      </w:r>
    </w:p>
    <w:p>
      <w:pPr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1. Внести изменения в Методику прог</w:t>
      </w:r>
      <w:r>
        <w:rPr>
          <w:color w:val="3F3F3F" w:themeColor="text1" w:themeTint="BF"/>
          <w:sz w:val="28"/>
          <w:szCs w:val="28"/>
        </w:rPr>
        <w:softHyphen/>
      </w:r>
      <w:r>
        <w:rPr>
          <w:color w:val="3F3F3F" w:themeColor="text1" w:themeTint="BF"/>
          <w:sz w:val="28"/>
          <w:szCs w:val="28"/>
        </w:rPr>
        <w:t>нозирования поступлений дохо</w:t>
      </w:r>
      <w:r>
        <w:rPr>
          <w:color w:val="3F3F3F" w:themeColor="text1" w:themeTint="BF"/>
          <w:sz w:val="28"/>
          <w:szCs w:val="28"/>
        </w:rPr>
        <w:softHyphen/>
      </w:r>
      <w:r>
        <w:rPr>
          <w:color w:val="3F3F3F" w:themeColor="text1" w:themeTint="BF"/>
          <w:sz w:val="28"/>
          <w:szCs w:val="28"/>
        </w:rPr>
        <w:t>дов в бюджет, главным админи</w:t>
      </w:r>
      <w:r>
        <w:rPr>
          <w:color w:val="3F3F3F" w:themeColor="text1" w:themeTint="BF"/>
          <w:sz w:val="28"/>
          <w:szCs w:val="28"/>
        </w:rPr>
        <w:softHyphen/>
      </w:r>
      <w:r>
        <w:rPr>
          <w:color w:val="3F3F3F" w:themeColor="text1" w:themeTint="BF"/>
          <w:sz w:val="28"/>
          <w:szCs w:val="28"/>
        </w:rPr>
        <w:t>стратором которых является администрация Согдинского сельского поселения Верхнебуреинского муниципального района, утвержденной постановлением администрации Согдинского сельского поселения от 19.10.2018 г. № 22 «Об утверждении Методики прогнозирования поступлений доходов в бюджет, главным администратором которых является администрация Согдинского сельского поселения Верхнебуреинского муниципального района», изложив ее в новой редакции согласно приложения к настоящему постановлению.</w:t>
      </w:r>
    </w:p>
    <w:p>
      <w:pPr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2. Контроль за исполнением настоящего постановления оставляю за собой.</w:t>
      </w:r>
    </w:p>
    <w:p>
      <w:pPr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3. Настоящее постановление вступает в силу с «01» января 2020 года и подлежит официальному опубликованию (обнародованию).</w:t>
      </w: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Глава сельского поселения</w:t>
      </w:r>
      <w:r>
        <w:rPr>
          <w:color w:val="3F3F3F" w:themeColor="text1" w:themeTint="BF"/>
          <w:sz w:val="28"/>
          <w:szCs w:val="28"/>
        </w:rPr>
        <w:tab/>
      </w:r>
      <w:r>
        <w:rPr>
          <w:color w:val="3F3F3F" w:themeColor="text1" w:themeTint="BF"/>
          <w:sz w:val="28"/>
          <w:szCs w:val="28"/>
        </w:rPr>
        <w:tab/>
      </w:r>
      <w:r>
        <w:rPr>
          <w:color w:val="3F3F3F" w:themeColor="text1" w:themeTint="BF"/>
          <w:sz w:val="28"/>
          <w:szCs w:val="28"/>
        </w:rPr>
        <w:tab/>
      </w:r>
      <w:r>
        <w:rPr>
          <w:color w:val="3F3F3F" w:themeColor="text1" w:themeTint="BF"/>
          <w:sz w:val="28"/>
          <w:szCs w:val="28"/>
        </w:rPr>
        <w:tab/>
      </w:r>
      <w:r>
        <w:rPr>
          <w:color w:val="3F3F3F" w:themeColor="text1" w:themeTint="BF"/>
          <w:sz w:val="28"/>
          <w:szCs w:val="28"/>
        </w:rPr>
        <w:tab/>
      </w:r>
      <w:r>
        <w:rPr>
          <w:color w:val="3F3F3F" w:themeColor="text1" w:themeTint="BF"/>
          <w:sz w:val="28"/>
          <w:szCs w:val="28"/>
        </w:rPr>
        <w:tab/>
      </w:r>
      <w:r>
        <w:rPr>
          <w:color w:val="3F3F3F" w:themeColor="text1" w:themeTint="BF"/>
          <w:sz w:val="28"/>
          <w:szCs w:val="28"/>
        </w:rPr>
        <w:tab/>
      </w:r>
      <w:r>
        <w:rPr>
          <w:color w:val="3F3F3F" w:themeColor="text1" w:themeTint="BF"/>
          <w:sz w:val="28"/>
          <w:szCs w:val="28"/>
        </w:rPr>
        <w:t xml:space="preserve"> Е.М. Репина</w:t>
      </w: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ind w:firstLine="540"/>
        <w:jc w:val="right"/>
        <w:textAlignment w:val="auto"/>
        <w:rPr>
          <w:color w:val="3F3F3F" w:themeColor="text1" w:themeTint="BF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ind w:firstLine="540"/>
        <w:jc w:val="right"/>
        <w:textAlignment w:val="auto"/>
        <w:rPr>
          <w:color w:val="3F3F3F" w:themeColor="text1" w:themeTint="BF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ind w:firstLine="540"/>
        <w:jc w:val="right"/>
        <w:textAlignment w:val="auto"/>
        <w:rPr>
          <w:color w:val="3F3F3F" w:themeColor="text1" w:themeTint="BF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ind w:firstLine="540"/>
        <w:jc w:val="right"/>
        <w:textAlignment w:val="auto"/>
        <w:rPr>
          <w:color w:val="3F3F3F" w:themeColor="text1" w:themeTint="BF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ind w:firstLine="540"/>
        <w:jc w:val="right"/>
        <w:textAlignment w:val="auto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Приложение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jc w:val="right"/>
        <w:textAlignment w:val="auto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 xml:space="preserve">к постановлению администрации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jc w:val="right"/>
        <w:textAlignment w:val="auto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Согдинского сельского поселения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40" w:lineRule="exact"/>
        <w:jc w:val="right"/>
        <w:textAlignment w:val="auto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от 15.10.2019 № 34</w:t>
      </w:r>
    </w:p>
    <w:p>
      <w:pPr>
        <w:autoSpaceDE w:val="0"/>
        <w:autoSpaceDN w:val="0"/>
        <w:adjustRightInd w:val="0"/>
        <w:jc w:val="both"/>
        <w:rPr>
          <w:color w:val="3F3F3F" w:themeColor="text1" w:themeTint="BF"/>
          <w:sz w:val="28"/>
          <w:szCs w:val="28"/>
        </w:rPr>
      </w:pPr>
    </w:p>
    <w:p>
      <w:pPr>
        <w:pStyle w:val="25"/>
        <w:shd w:val="clear" w:color="auto" w:fill="auto"/>
        <w:spacing w:after="0" w:line="235" w:lineRule="exact"/>
        <w:ind w:left="20" w:firstLine="0"/>
        <w:jc w:val="center"/>
        <w:rPr>
          <w:color w:val="3F3F3F" w:themeColor="text1" w:themeTint="BF"/>
        </w:rPr>
      </w:pPr>
      <w:r>
        <w:rPr>
          <w:color w:val="3F3F3F" w:themeColor="text1" w:themeTint="BF"/>
        </w:rPr>
        <w:t>МЕТОДИКА</w:t>
      </w:r>
    </w:p>
    <w:p>
      <w:pPr>
        <w:pStyle w:val="13"/>
        <w:jc w:val="center"/>
        <w:rPr>
          <w:color w:val="3F3F3F" w:themeColor="text1" w:themeTint="BF"/>
          <w:szCs w:val="28"/>
        </w:rPr>
      </w:pPr>
      <w:r>
        <w:rPr>
          <w:color w:val="3F3F3F" w:themeColor="text1" w:themeTint="BF"/>
          <w:szCs w:val="28"/>
        </w:rPr>
        <w:t>прогнозирования поступлений доходов в бюджет, главным администратором</w:t>
      </w:r>
      <w:r>
        <w:rPr>
          <w:color w:val="3F3F3F" w:themeColor="text1" w:themeTint="BF"/>
          <w:szCs w:val="28"/>
        </w:rPr>
        <w:br w:type="textWrapping"/>
      </w:r>
      <w:r>
        <w:rPr>
          <w:color w:val="3F3F3F" w:themeColor="text1" w:themeTint="BF"/>
          <w:szCs w:val="28"/>
        </w:rPr>
        <w:t>которых является администрация Согдинского сельского поселения  Верхнебуреинского муниципального района</w:t>
      </w:r>
    </w:p>
    <w:p>
      <w:pPr>
        <w:autoSpaceDE w:val="0"/>
        <w:autoSpaceDN w:val="0"/>
        <w:adjustRightInd w:val="0"/>
        <w:ind w:firstLine="540"/>
        <w:jc w:val="both"/>
        <w:rPr>
          <w:color w:val="3F3F3F" w:themeColor="text1" w:themeTint="BF"/>
          <w:sz w:val="28"/>
          <w:szCs w:val="28"/>
        </w:rPr>
      </w:pPr>
    </w:p>
    <w:p>
      <w:pPr>
        <w:autoSpaceDE w:val="0"/>
        <w:autoSpaceDN w:val="0"/>
        <w:adjustRightInd w:val="0"/>
        <w:ind w:firstLine="567"/>
        <w:outlineLvl w:val="1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1. Общие положения</w:t>
      </w:r>
    </w:p>
    <w:p>
      <w:pPr>
        <w:autoSpaceDE w:val="0"/>
        <w:autoSpaceDN w:val="0"/>
        <w:adjustRightInd w:val="0"/>
        <w:ind w:firstLine="567"/>
        <w:outlineLvl w:val="1"/>
        <w:rPr>
          <w:color w:val="3F3F3F" w:themeColor="text1" w:themeTint="BF"/>
          <w:sz w:val="28"/>
          <w:szCs w:val="28"/>
        </w:rPr>
      </w:pPr>
    </w:p>
    <w:p>
      <w:pPr>
        <w:autoSpaceDE w:val="0"/>
        <w:autoSpaceDN w:val="0"/>
        <w:adjustRightInd w:val="0"/>
        <w:ind w:firstLine="567"/>
        <w:jc w:val="both"/>
        <w:outlineLvl w:val="1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 xml:space="preserve">Настоящая Методика разработана в соответствии со статьей 160.1 Бюджетного кодекса Российской Федерации, с общими требованиями к методике прогнозирования поступлений доходов в бюджеты бюджетной системы Российской Федерации, утвержденными постановлением Правительства Российской Федерации от 23 июня 2016 г. № 574, </w:t>
      </w:r>
      <w:r>
        <w:rPr>
          <w:bCs/>
          <w:color w:val="3F3F3F" w:themeColor="text1" w:themeTint="BF"/>
          <w:kern w:val="36"/>
          <w:sz w:val="28"/>
          <w:szCs w:val="28"/>
        </w:rPr>
        <w:t>Порядком формирования и применения кодов бюджетной классификации Российской Федерации, их структурой и принципами назначения и</w:t>
      </w:r>
      <w:r>
        <w:rPr>
          <w:color w:val="3F3F3F" w:themeColor="text1" w:themeTint="BF"/>
          <w:sz w:val="28"/>
          <w:szCs w:val="28"/>
        </w:rPr>
        <w:t xml:space="preserve"> применяется для  прогнозирования поступлений доходов в бюджет Согдинского сельского поселения по основным видам налоговых и неналоговых доходов, в разрезе кодов классификации доходов, главным администратором которых является администрация Согдинского сельского поселения.</w:t>
      </w:r>
    </w:p>
    <w:p>
      <w:pPr>
        <w:autoSpaceDE w:val="0"/>
        <w:autoSpaceDN w:val="0"/>
        <w:adjustRightInd w:val="0"/>
        <w:ind w:firstLine="567"/>
        <w:jc w:val="both"/>
        <w:outlineLvl w:val="1"/>
        <w:rPr>
          <w:color w:val="3F3F3F" w:themeColor="text1" w:themeTint="BF"/>
          <w:sz w:val="28"/>
          <w:szCs w:val="28"/>
        </w:rPr>
      </w:pPr>
    </w:p>
    <w:p>
      <w:pPr>
        <w:autoSpaceDE w:val="0"/>
        <w:autoSpaceDN w:val="0"/>
        <w:adjustRightInd w:val="0"/>
        <w:ind w:firstLine="567"/>
        <w:outlineLvl w:val="1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2. Налоговые доходы</w:t>
      </w:r>
    </w:p>
    <w:p>
      <w:pPr>
        <w:autoSpaceDE w:val="0"/>
        <w:autoSpaceDN w:val="0"/>
        <w:adjustRightInd w:val="0"/>
        <w:ind w:firstLine="567"/>
        <w:outlineLvl w:val="1"/>
        <w:rPr>
          <w:color w:val="3F3F3F" w:themeColor="text1" w:themeTint="BF"/>
          <w:sz w:val="28"/>
          <w:szCs w:val="28"/>
        </w:rPr>
      </w:pPr>
    </w:p>
    <w:p>
      <w:pPr>
        <w:autoSpaceDE w:val="0"/>
        <w:autoSpaceDN w:val="0"/>
        <w:adjustRightInd w:val="0"/>
        <w:ind w:firstLine="567"/>
        <w:jc w:val="both"/>
        <w:outlineLvl w:val="1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 xml:space="preserve">2.1.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действий:  </w:t>
      </w:r>
    </w:p>
    <w:p>
      <w:pPr>
        <w:autoSpaceDE w:val="0"/>
        <w:autoSpaceDN w:val="0"/>
        <w:adjustRightInd w:val="0"/>
        <w:ind w:firstLine="567"/>
        <w:jc w:val="both"/>
        <w:outlineLvl w:val="1"/>
        <w:rPr>
          <w:color w:val="3F3F3F" w:themeColor="text1" w:themeTint="BF"/>
          <w:sz w:val="28"/>
          <w:szCs w:val="28"/>
        </w:rPr>
      </w:pPr>
      <w:r>
        <w:rPr>
          <w:b/>
          <w:color w:val="3F3F3F" w:themeColor="text1" w:themeTint="BF"/>
          <w:sz w:val="28"/>
          <w:szCs w:val="28"/>
        </w:rPr>
        <w:t>КБК код БК 806 1 0804020 01 0000 110</w:t>
      </w:r>
      <w:r>
        <w:rPr>
          <w:color w:val="3F3F3F" w:themeColor="text1" w:themeTint="BF"/>
          <w:sz w:val="28"/>
          <w:szCs w:val="28"/>
        </w:rPr>
        <w:t xml:space="preserve"> прогнозируется исходя из отчетных данных о ее поступлении за год, предшествующий текущему году, ожидаемого поступления в текущем году, динамики поступления и прогнозных сумм поступления государственной пошлины в прогнозируемом финансовом годупо следующей формуле:</w:t>
      </w:r>
    </w:p>
    <w:p>
      <w:pPr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Пгос = Ф * Кп + Д, где</w:t>
      </w:r>
    </w:p>
    <w:p>
      <w:pPr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Пгос – прогнозируемая сумма государственной пошлины, поступающая в бюджет сельского поселения, на очередной финансовый год;</w:t>
      </w:r>
    </w:p>
    <w:p>
      <w:pPr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Ф - фактические поступления государственной пошлины в бюджет сельского поселения в отчетном году;</w:t>
      </w:r>
    </w:p>
    <w:p>
      <w:pPr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Кп - коэффициент, характеризующий динамику поступлений в текущем году по сравнению с отчетным годом;</w:t>
      </w:r>
    </w:p>
    <w:p>
      <w:pPr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Д - дополнительные (+) или выпадающие (-) доходы бюджета поселения по государственной пошлине в прогнозируемом финансовом году, связанные с изменениями налогового и бюджетного законодательства.</w:t>
      </w:r>
    </w:p>
    <w:p>
      <w:pPr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Прогнозируемое поступление государственной пошлины на первый год планового периода и на второй год планового периода принимается равным сумме прогнозируемого поступления государственной пошлины на очередной финансовый год.</w:t>
      </w:r>
    </w:p>
    <w:p>
      <w:pPr>
        <w:autoSpaceDE w:val="0"/>
        <w:autoSpaceDN w:val="0"/>
        <w:adjustRightInd w:val="0"/>
        <w:jc w:val="both"/>
        <w:outlineLvl w:val="1"/>
        <w:rPr>
          <w:color w:val="3F3F3F" w:themeColor="text1" w:themeTint="BF"/>
          <w:sz w:val="28"/>
          <w:szCs w:val="28"/>
        </w:rPr>
      </w:pPr>
    </w:p>
    <w:p>
      <w:pPr>
        <w:autoSpaceDE w:val="0"/>
        <w:autoSpaceDN w:val="0"/>
        <w:adjustRightInd w:val="0"/>
        <w:ind w:firstLine="567"/>
        <w:jc w:val="both"/>
        <w:outlineLvl w:val="1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3. Неналоговые доходы</w:t>
      </w:r>
    </w:p>
    <w:p>
      <w:pPr>
        <w:autoSpaceDE w:val="0"/>
        <w:autoSpaceDN w:val="0"/>
        <w:adjustRightInd w:val="0"/>
        <w:ind w:firstLine="567"/>
        <w:jc w:val="both"/>
        <w:outlineLvl w:val="1"/>
        <w:rPr>
          <w:color w:val="3F3F3F" w:themeColor="text1" w:themeTint="BF"/>
          <w:sz w:val="28"/>
          <w:szCs w:val="28"/>
        </w:rPr>
      </w:pPr>
    </w:p>
    <w:p>
      <w:pPr>
        <w:autoSpaceDE w:val="0"/>
        <w:autoSpaceDN w:val="0"/>
        <w:adjustRightInd w:val="0"/>
        <w:ind w:firstLine="567"/>
        <w:jc w:val="both"/>
        <w:outlineLvl w:val="1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 xml:space="preserve">3.1. 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учреждений): </w:t>
      </w:r>
      <w:r>
        <w:rPr>
          <w:b/>
          <w:color w:val="3F3F3F" w:themeColor="text1" w:themeTint="BF"/>
          <w:sz w:val="28"/>
          <w:szCs w:val="28"/>
        </w:rPr>
        <w:t>КБК 806 1 11 05035 10 0000 120.</w:t>
      </w:r>
    </w:p>
    <w:p>
      <w:pPr>
        <w:autoSpaceDE w:val="0"/>
        <w:autoSpaceDN w:val="0"/>
        <w:adjustRightInd w:val="0"/>
        <w:ind w:firstLine="567"/>
        <w:jc w:val="both"/>
        <w:outlineLvl w:val="1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Источником данных о сдаваемой в аренду площади имущества и ставке арендной платы являются договоры, заключенные (планируемые к заключению) с арендаторами.</w:t>
      </w:r>
    </w:p>
    <w:p>
      <w:pPr>
        <w:autoSpaceDE w:val="0"/>
        <w:autoSpaceDN w:val="0"/>
        <w:adjustRightInd w:val="0"/>
        <w:ind w:firstLine="567"/>
        <w:jc w:val="both"/>
        <w:outlineLvl w:val="1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При формировании прогноза поступлений доходов от предоставления имущества, находящегося в государственной или муниципальной собственности, в аренду применяется метод прямого расчета.</w:t>
      </w:r>
    </w:p>
    <w:p>
      <w:pPr>
        <w:autoSpaceDE w:val="0"/>
        <w:autoSpaceDN w:val="0"/>
        <w:adjustRightInd w:val="0"/>
        <w:ind w:firstLine="567"/>
        <w:jc w:val="both"/>
        <w:outlineLvl w:val="1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Основой расчета доходов от сдачи в аренду имущества, находящегося в собственности поселения являются:</w:t>
      </w:r>
    </w:p>
    <w:p>
      <w:pPr>
        <w:autoSpaceDE w:val="0"/>
        <w:autoSpaceDN w:val="0"/>
        <w:adjustRightInd w:val="0"/>
        <w:ind w:firstLine="567"/>
        <w:jc w:val="both"/>
        <w:outlineLvl w:val="1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порядок исчисления и уплаты в бюджет поселения арендной платы за пользование находящимися в муниципальной собственности нежилыми зданиями, отдельными помещениями, строениями, сооружениями, установленный нормативными правовыми актами поселения;</w:t>
      </w:r>
    </w:p>
    <w:p>
      <w:pPr>
        <w:autoSpaceDE w:val="0"/>
        <w:autoSpaceDN w:val="0"/>
        <w:adjustRightInd w:val="0"/>
        <w:ind w:firstLine="567"/>
        <w:jc w:val="both"/>
        <w:outlineLvl w:val="1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ожидаемый объем поступлений арендной платы за имущество в текущем финансовом году, учитывающий ее начисление на текущий финансовый год по действующим на расчетную дату договорам аренды, фактических поступлений текущих платежей и задолженности прошлых лет в первом полугодии текущего финансового года, прогноз погашения задолженности во втором полугодии текущего финансового года, прогноз изменения поступлений арендной платы за имущество, обусловленных увеличением (сокращением) площадей, сдаваемых в аренду во втором полугодии текущего финансового года;</w:t>
      </w:r>
    </w:p>
    <w:p>
      <w:pPr>
        <w:autoSpaceDE w:val="0"/>
        <w:autoSpaceDN w:val="0"/>
        <w:adjustRightInd w:val="0"/>
        <w:ind w:firstLine="567"/>
        <w:jc w:val="both"/>
        <w:outlineLvl w:val="1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информация о прогнозе объема выбытия (объема увеличения поступлений) арендной платы за имущество в очередном финансовом году (далее - объем выбытия (объем увеличения поступлений) арендной платы за имущество) в связи с планируемым уменьшением (увеличением) площадей, сдаваемых в аренду (на основании прогнозного Плана приватизации муниципального имущества на очередной финансовый год, выбытия (увеличения поступлений) имущества в связи с передачей полномочий, предоставлением льгот по арендной плате за имущество, планируемым изменением порядка исчисления и уплаты в бюджет арендной платы за имущество, установленного нормативными правовыми актами муниципального образования, и иных причин);</w:t>
      </w:r>
    </w:p>
    <w:p>
      <w:pPr>
        <w:autoSpaceDE w:val="0"/>
        <w:autoSpaceDN w:val="0"/>
        <w:adjustRightInd w:val="0"/>
        <w:ind w:firstLine="567"/>
        <w:jc w:val="both"/>
        <w:outlineLvl w:val="1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сведения о размере задолженности по арендной плате за имущество на последнюю отчетную дату, в том числе возможную к взысканию;</w:t>
      </w:r>
    </w:p>
    <w:p>
      <w:pPr>
        <w:autoSpaceDE w:val="0"/>
        <w:autoSpaceDN w:val="0"/>
        <w:adjustRightInd w:val="0"/>
        <w:ind w:firstLine="567"/>
        <w:jc w:val="both"/>
        <w:outlineLvl w:val="1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информация о размере индекса инфляции, установленного Федеральным законом о федеральном бюджете на текущий год и плановый период (далее - Коэффициент-дефлятор);</w:t>
      </w:r>
    </w:p>
    <w:p>
      <w:pPr>
        <w:autoSpaceDE w:val="0"/>
        <w:autoSpaceDN w:val="0"/>
        <w:adjustRightInd w:val="0"/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 xml:space="preserve">Прогноз поступлений арендной платы за имущество в бюджет рассчитывается по формуле: </w:t>
      </w:r>
    </w:p>
    <w:p>
      <w:pPr>
        <w:autoSpaceDE w:val="0"/>
        <w:autoSpaceDN w:val="0"/>
        <w:adjustRightInd w:val="0"/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 xml:space="preserve">(ПН </w:t>
      </w:r>
      <w:r>
        <w:rPr>
          <w:color w:val="3F3F3F" w:themeColor="text1" w:themeTint="BF"/>
          <w:sz w:val="28"/>
          <w:szCs w:val="28"/>
          <w:vertAlign w:val="superscript"/>
        </w:rPr>
        <w:t>апи</w:t>
      </w:r>
      <w:r>
        <w:rPr>
          <w:color w:val="3F3F3F" w:themeColor="text1" w:themeTint="BF"/>
          <w:sz w:val="28"/>
          <w:szCs w:val="28"/>
        </w:rPr>
        <w:t xml:space="preserve">- ОР </w:t>
      </w:r>
      <w:r>
        <w:rPr>
          <w:color w:val="3F3F3F" w:themeColor="text1" w:themeTint="BF"/>
          <w:sz w:val="28"/>
          <w:szCs w:val="28"/>
          <w:vertAlign w:val="superscript"/>
        </w:rPr>
        <w:t>апи</w:t>
      </w:r>
      <w:r>
        <w:rPr>
          <w:color w:val="3F3F3F" w:themeColor="text1" w:themeTint="BF"/>
          <w:sz w:val="28"/>
          <w:szCs w:val="28"/>
        </w:rPr>
        <w:t xml:space="preserve">+ ОУ </w:t>
      </w:r>
      <w:r>
        <w:rPr>
          <w:color w:val="3F3F3F" w:themeColor="text1" w:themeTint="BF"/>
          <w:sz w:val="28"/>
          <w:szCs w:val="28"/>
          <w:vertAlign w:val="superscript"/>
        </w:rPr>
        <w:t>апи</w:t>
      </w:r>
      <w:r>
        <w:rPr>
          <w:color w:val="3F3F3F" w:themeColor="text1" w:themeTint="BF"/>
          <w:sz w:val="28"/>
          <w:szCs w:val="28"/>
        </w:rPr>
        <w:t xml:space="preserve"> - ОВ </w:t>
      </w:r>
      <w:r>
        <w:rPr>
          <w:color w:val="3F3F3F" w:themeColor="text1" w:themeTint="BF"/>
          <w:sz w:val="28"/>
          <w:szCs w:val="28"/>
          <w:vertAlign w:val="superscript"/>
        </w:rPr>
        <w:t>апи</w:t>
      </w:r>
      <w:r>
        <w:rPr>
          <w:color w:val="3F3F3F" w:themeColor="text1" w:themeTint="BF"/>
          <w:sz w:val="28"/>
          <w:szCs w:val="28"/>
        </w:rPr>
        <w:t>)хКд+ ПСЗ</w:t>
      </w:r>
      <w:r>
        <w:rPr>
          <w:color w:val="3F3F3F" w:themeColor="text1" w:themeTint="BF"/>
          <w:sz w:val="28"/>
          <w:szCs w:val="28"/>
          <w:vertAlign w:val="superscript"/>
        </w:rPr>
        <w:t>апи</w:t>
      </w:r>
      <w:r>
        <w:rPr>
          <w:color w:val="3F3F3F" w:themeColor="text1" w:themeTint="BF"/>
          <w:sz w:val="28"/>
          <w:szCs w:val="28"/>
        </w:rPr>
        <w:t>где:</w:t>
      </w:r>
    </w:p>
    <w:p>
      <w:pPr>
        <w:autoSpaceDE w:val="0"/>
        <w:autoSpaceDN w:val="0"/>
        <w:adjustRightInd w:val="0"/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 xml:space="preserve">ПН </w:t>
      </w:r>
      <w:r>
        <w:rPr>
          <w:color w:val="3F3F3F" w:themeColor="text1" w:themeTint="BF"/>
          <w:sz w:val="28"/>
          <w:szCs w:val="28"/>
          <w:vertAlign w:val="superscript"/>
        </w:rPr>
        <w:t>апи</w:t>
      </w:r>
      <w:r>
        <w:rPr>
          <w:color w:val="3F3F3F" w:themeColor="text1" w:themeTint="BF"/>
          <w:sz w:val="28"/>
          <w:szCs w:val="28"/>
        </w:rPr>
        <w:t>-ожидаемые поступления арендной платы за имущество;</w:t>
      </w:r>
    </w:p>
    <w:p>
      <w:pPr>
        <w:autoSpaceDE w:val="0"/>
        <w:autoSpaceDN w:val="0"/>
        <w:adjustRightInd w:val="0"/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 xml:space="preserve">ОР </w:t>
      </w:r>
      <w:r>
        <w:rPr>
          <w:color w:val="3F3F3F" w:themeColor="text1" w:themeTint="BF"/>
          <w:sz w:val="28"/>
          <w:szCs w:val="28"/>
          <w:vertAlign w:val="superscript"/>
        </w:rPr>
        <w:t>апи</w:t>
      </w:r>
      <w:r>
        <w:rPr>
          <w:color w:val="3F3F3F" w:themeColor="text1" w:themeTint="BF"/>
          <w:sz w:val="28"/>
          <w:szCs w:val="28"/>
        </w:rPr>
        <w:t>- объем поступлений, носящих разовый характер;</w:t>
      </w:r>
    </w:p>
    <w:p>
      <w:pPr>
        <w:autoSpaceDE w:val="0"/>
        <w:autoSpaceDN w:val="0"/>
        <w:adjustRightInd w:val="0"/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 xml:space="preserve">ОУ </w:t>
      </w:r>
      <w:r>
        <w:rPr>
          <w:color w:val="3F3F3F" w:themeColor="text1" w:themeTint="BF"/>
          <w:sz w:val="28"/>
          <w:szCs w:val="28"/>
          <w:vertAlign w:val="superscript"/>
        </w:rPr>
        <w:t>апи</w:t>
      </w:r>
      <w:r>
        <w:rPr>
          <w:color w:val="3F3F3F" w:themeColor="text1" w:themeTint="BF"/>
          <w:sz w:val="28"/>
          <w:szCs w:val="28"/>
        </w:rPr>
        <w:t>-объем увеличения поступлений арендной платы за имущество;</w:t>
      </w:r>
    </w:p>
    <w:p>
      <w:pPr>
        <w:autoSpaceDE w:val="0"/>
        <w:autoSpaceDN w:val="0"/>
        <w:adjustRightInd w:val="0"/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 xml:space="preserve">ОВ </w:t>
      </w:r>
      <w:r>
        <w:rPr>
          <w:color w:val="3F3F3F" w:themeColor="text1" w:themeTint="BF"/>
          <w:sz w:val="28"/>
          <w:szCs w:val="28"/>
          <w:vertAlign w:val="superscript"/>
        </w:rPr>
        <w:t>апи</w:t>
      </w:r>
      <w:r>
        <w:rPr>
          <w:color w:val="3F3F3F" w:themeColor="text1" w:themeTint="BF"/>
          <w:sz w:val="28"/>
          <w:szCs w:val="28"/>
        </w:rPr>
        <w:t>- объем выбытия арендной платы за имущество;</w:t>
      </w:r>
    </w:p>
    <w:p>
      <w:pPr>
        <w:autoSpaceDE w:val="0"/>
        <w:autoSpaceDN w:val="0"/>
        <w:adjustRightInd w:val="0"/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Кд- коэффициент-дефлятор;</w:t>
      </w:r>
    </w:p>
    <w:p>
      <w:pPr>
        <w:autoSpaceDE w:val="0"/>
        <w:autoSpaceDN w:val="0"/>
        <w:adjustRightInd w:val="0"/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ПСЗ</w:t>
      </w:r>
      <w:r>
        <w:rPr>
          <w:color w:val="3F3F3F" w:themeColor="text1" w:themeTint="BF"/>
          <w:sz w:val="28"/>
          <w:szCs w:val="28"/>
          <w:vertAlign w:val="superscript"/>
        </w:rPr>
        <w:t>апи</w:t>
      </w:r>
      <w:r>
        <w:rPr>
          <w:color w:val="3F3F3F" w:themeColor="text1" w:themeTint="BF"/>
          <w:sz w:val="28"/>
          <w:szCs w:val="28"/>
        </w:rPr>
        <w:t>-прогнозируемая сумма поступлений задолженности прошлых лет.</w:t>
      </w:r>
    </w:p>
    <w:p>
      <w:pPr>
        <w:autoSpaceDE w:val="0"/>
        <w:autoSpaceDN w:val="0"/>
        <w:adjustRightInd w:val="0"/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Прогноз объема поступлений арендных платежей на плановый период принимается равным прогнозу объема данных поступлений на очередной фи</w:t>
      </w:r>
      <w:r>
        <w:rPr>
          <w:color w:val="3F3F3F" w:themeColor="text1" w:themeTint="BF"/>
          <w:sz w:val="28"/>
          <w:szCs w:val="28"/>
        </w:rPr>
        <w:softHyphen/>
      </w:r>
      <w:r>
        <w:rPr>
          <w:color w:val="3F3F3F" w:themeColor="text1" w:themeTint="BF"/>
          <w:sz w:val="28"/>
          <w:szCs w:val="28"/>
        </w:rPr>
        <w:t>нансовый год, скорректированный на индекс инфляции, установленный Федеральным законом о федеральном бюджете на текущий год и плановый период.</w:t>
      </w:r>
    </w:p>
    <w:p>
      <w:pPr>
        <w:autoSpaceDE w:val="0"/>
        <w:autoSpaceDN w:val="0"/>
        <w:adjustRightInd w:val="0"/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3.2. Штрафы, санкции, возмещение ущерба:</w:t>
      </w:r>
    </w:p>
    <w:p>
      <w:pPr>
        <w:autoSpaceDE w:val="0"/>
        <w:autoSpaceDN w:val="0"/>
        <w:adjustRightInd w:val="0"/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3.2.1. 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</w:r>
    </w:p>
    <w:p>
      <w:pPr>
        <w:autoSpaceDE w:val="0"/>
        <w:autoSpaceDN w:val="0"/>
        <w:adjustRightInd w:val="0"/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b/>
          <w:color w:val="3F3F3F" w:themeColor="text1" w:themeTint="BF"/>
          <w:sz w:val="28"/>
          <w:szCs w:val="28"/>
        </w:rPr>
        <w:t>КБК 806 1 16 10032 10 0000 140</w:t>
      </w:r>
      <w:r>
        <w:rPr>
          <w:color w:val="3F3F3F" w:themeColor="text1" w:themeTint="BF"/>
          <w:sz w:val="28"/>
          <w:szCs w:val="28"/>
        </w:rPr>
        <w:t xml:space="preserve"> (далее - денежные взыскания), на очередной финансовый год рас</w:t>
      </w:r>
      <w:r>
        <w:rPr>
          <w:color w:val="3F3F3F" w:themeColor="text1" w:themeTint="BF"/>
          <w:sz w:val="28"/>
          <w:szCs w:val="28"/>
        </w:rPr>
        <w:softHyphen/>
      </w:r>
      <w:r>
        <w:rPr>
          <w:color w:val="3F3F3F" w:themeColor="text1" w:themeTint="BF"/>
          <w:sz w:val="28"/>
          <w:szCs w:val="28"/>
        </w:rPr>
        <w:t>считывается методом экстраполяции с учетом интенсивности изменения сумм данных поступлений за три года, предшествующих планируемому году (за два отчетных года, предшествующих текущему финансовому году, и теку</w:t>
      </w:r>
      <w:r>
        <w:rPr>
          <w:color w:val="3F3F3F" w:themeColor="text1" w:themeTint="BF"/>
          <w:sz w:val="28"/>
          <w:szCs w:val="28"/>
        </w:rPr>
        <w:softHyphen/>
      </w:r>
      <w:r>
        <w:rPr>
          <w:color w:val="3F3F3F" w:themeColor="text1" w:themeTint="BF"/>
          <w:sz w:val="28"/>
          <w:szCs w:val="28"/>
        </w:rPr>
        <w:t>щий финансовый год).</w:t>
      </w:r>
    </w:p>
    <w:p>
      <w:pPr>
        <w:pStyle w:val="19"/>
        <w:jc w:val="both"/>
        <w:rPr>
          <w:rFonts w:ascii="Times New Roman" w:hAnsi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/>
          <w:color w:val="3F3F3F" w:themeColor="text1" w:themeTint="BF"/>
          <w:sz w:val="28"/>
          <w:szCs w:val="28"/>
        </w:rPr>
        <w:t>Прогноз объема поступлений денежных взысканий на очередной фи</w:t>
      </w:r>
      <w:r>
        <w:rPr>
          <w:rFonts w:ascii="Times New Roman" w:hAnsi="Times New Roman"/>
          <w:color w:val="3F3F3F" w:themeColor="text1" w:themeTint="BF"/>
          <w:sz w:val="28"/>
          <w:szCs w:val="28"/>
        </w:rPr>
        <w:softHyphen/>
      </w:r>
      <w:r>
        <w:rPr>
          <w:rFonts w:ascii="Times New Roman" w:hAnsi="Times New Roman"/>
          <w:color w:val="3F3F3F" w:themeColor="text1" w:themeTint="BF"/>
          <w:sz w:val="28"/>
          <w:szCs w:val="28"/>
        </w:rPr>
        <w:t>нансовый год рассчитывается по следующей формуле:</w:t>
      </w:r>
    </w:p>
    <w:p>
      <w:pPr>
        <w:pStyle w:val="19"/>
        <w:ind w:firstLine="567"/>
        <w:jc w:val="both"/>
        <w:rPr>
          <w:rFonts w:ascii="Times New Roman" w:hAnsi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/>
          <w:color w:val="3F3F3F" w:themeColor="text1" w:themeTint="BF"/>
          <w:sz w:val="28"/>
          <w:szCs w:val="28"/>
        </w:rPr>
        <w:t>П</w:t>
      </w:r>
      <w:r>
        <w:rPr>
          <w:rFonts w:ascii="Times New Roman" w:hAnsi="Times New Roman"/>
          <w:color w:val="3F3F3F" w:themeColor="text1" w:themeTint="BF"/>
          <w:sz w:val="28"/>
          <w:szCs w:val="28"/>
          <w:vertAlign w:val="subscript"/>
        </w:rPr>
        <w:t>дв</w:t>
      </w:r>
      <w:r>
        <w:rPr>
          <w:rFonts w:ascii="Times New Roman" w:hAnsi="Times New Roman"/>
          <w:color w:val="3F3F3F" w:themeColor="text1" w:themeTint="BF"/>
          <w:sz w:val="28"/>
          <w:szCs w:val="28"/>
          <w:vertAlign w:val="superscript"/>
        </w:rPr>
        <w:t>=</w:t>
      </w:r>
      <w:r>
        <w:rPr>
          <w:rFonts w:ascii="Times New Roman" w:hAnsi="Times New Roman"/>
          <w:color w:val="3F3F3F" w:themeColor="text1" w:themeTint="BF"/>
          <w:sz w:val="28"/>
          <w:szCs w:val="28"/>
        </w:rPr>
        <w:t>П</w:t>
      </w:r>
      <w:r>
        <w:rPr>
          <w:rStyle w:val="28"/>
          <w:rFonts w:eastAsia="Calibri"/>
          <w:color w:val="3F3F3F" w:themeColor="text1" w:themeTint="BF"/>
          <w:sz w:val="28"/>
          <w:szCs w:val="28"/>
        </w:rPr>
        <w:t>ож</w:t>
      </w:r>
      <w:r>
        <w:rPr>
          <w:rFonts w:ascii="Times New Roman" w:hAnsi="Times New Roman"/>
          <w:color w:val="3F3F3F" w:themeColor="text1" w:themeTint="BF"/>
          <w:sz w:val="28"/>
          <w:szCs w:val="28"/>
        </w:rPr>
        <w:t>х</w:t>
      </w:r>
      <w:r>
        <w:rPr>
          <w:rStyle w:val="28"/>
          <w:rFonts w:eastAsia="Calibri"/>
          <w:color w:val="3F3F3F" w:themeColor="text1" w:themeTint="BF"/>
          <w:sz w:val="28"/>
          <w:szCs w:val="28"/>
        </w:rPr>
        <w:t xml:space="preserve">Кпост,  </w:t>
      </w:r>
      <w:r>
        <w:rPr>
          <w:rFonts w:ascii="Times New Roman" w:hAnsi="Times New Roman"/>
          <w:color w:val="3F3F3F" w:themeColor="text1" w:themeTint="BF"/>
          <w:sz w:val="28"/>
          <w:szCs w:val="28"/>
        </w:rPr>
        <w:t>где:</w:t>
      </w:r>
    </w:p>
    <w:p>
      <w:pPr>
        <w:pStyle w:val="19"/>
        <w:ind w:firstLine="567"/>
        <w:jc w:val="both"/>
        <w:rPr>
          <w:rFonts w:ascii="Times New Roman" w:hAnsi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/>
          <w:color w:val="3F3F3F" w:themeColor="text1" w:themeTint="BF"/>
          <w:sz w:val="28"/>
          <w:szCs w:val="28"/>
        </w:rPr>
        <w:t>П</w:t>
      </w:r>
      <w:r>
        <w:rPr>
          <w:rFonts w:ascii="Times New Roman" w:hAnsi="Times New Roman"/>
          <w:color w:val="3F3F3F" w:themeColor="text1" w:themeTint="BF"/>
          <w:sz w:val="28"/>
          <w:szCs w:val="28"/>
          <w:vertAlign w:val="subscript"/>
        </w:rPr>
        <w:t>дв</w:t>
      </w:r>
      <w:r>
        <w:rPr>
          <w:rFonts w:ascii="Times New Roman" w:hAnsi="Times New Roman"/>
          <w:color w:val="3F3F3F" w:themeColor="text1" w:themeTint="BF"/>
          <w:sz w:val="28"/>
          <w:szCs w:val="28"/>
        </w:rPr>
        <w:t xml:space="preserve"> - прогноз объема поступлений денежных взысканий;</w:t>
      </w:r>
    </w:p>
    <w:p>
      <w:pPr>
        <w:pStyle w:val="19"/>
        <w:ind w:firstLine="567"/>
        <w:jc w:val="both"/>
        <w:rPr>
          <w:rStyle w:val="27"/>
          <w:rFonts w:eastAsia="Calibri"/>
          <w:color w:val="3F3F3F" w:themeColor="text1" w:themeTint="BF"/>
        </w:rPr>
      </w:pPr>
      <w:r>
        <w:rPr>
          <w:rStyle w:val="28"/>
          <w:rFonts w:eastAsia="Calibri"/>
          <w:color w:val="3F3F3F" w:themeColor="text1" w:themeTint="BF"/>
          <w:sz w:val="28"/>
          <w:szCs w:val="28"/>
        </w:rPr>
        <w:t>Пож</w:t>
      </w:r>
      <w:r>
        <w:rPr>
          <w:rFonts w:ascii="Times New Roman" w:hAnsi="Times New Roman"/>
          <w:color w:val="3F3F3F" w:themeColor="text1" w:themeTint="BF"/>
          <w:sz w:val="28"/>
          <w:szCs w:val="28"/>
        </w:rPr>
        <w:t>- ожидаемый объем поступлений в текущем финансовом году (рас</w:t>
      </w:r>
      <w:r>
        <w:rPr>
          <w:rFonts w:ascii="Times New Roman" w:hAnsi="Times New Roman"/>
          <w:color w:val="3F3F3F" w:themeColor="text1" w:themeTint="BF"/>
          <w:sz w:val="28"/>
          <w:szCs w:val="28"/>
        </w:rPr>
        <w:softHyphen/>
      </w:r>
      <w:r>
        <w:rPr>
          <w:rFonts w:ascii="Times New Roman" w:hAnsi="Times New Roman"/>
          <w:color w:val="3F3F3F" w:themeColor="text1" w:themeTint="BF"/>
          <w:sz w:val="28"/>
          <w:szCs w:val="28"/>
        </w:rPr>
        <w:t>считанный посредством корректировки утвержденного прогноза поступлений доходов на текущий финансовый год на фактический объем поступлений на последнюю отчетную дату текущего финансового года, приходящуюся на пе</w:t>
      </w:r>
      <w:r>
        <w:rPr>
          <w:rFonts w:ascii="Times New Roman" w:hAnsi="Times New Roman"/>
          <w:color w:val="3F3F3F" w:themeColor="text1" w:themeTint="BF"/>
          <w:sz w:val="28"/>
          <w:szCs w:val="28"/>
        </w:rPr>
        <w:softHyphen/>
      </w:r>
      <w:r>
        <w:rPr>
          <w:rFonts w:ascii="Times New Roman" w:hAnsi="Times New Roman"/>
          <w:color w:val="3F3F3F" w:themeColor="text1" w:themeTint="BF"/>
          <w:sz w:val="28"/>
          <w:szCs w:val="28"/>
        </w:rPr>
        <w:t>риод планирования, по данным отчета об исполнении бюджета главного рас</w:t>
      </w:r>
      <w:r>
        <w:rPr>
          <w:rFonts w:ascii="Times New Roman" w:hAnsi="Times New Roman"/>
          <w:color w:val="3F3F3F" w:themeColor="text1" w:themeTint="BF"/>
          <w:sz w:val="28"/>
          <w:szCs w:val="28"/>
        </w:rPr>
        <w:softHyphen/>
      </w:r>
      <w:r>
        <w:rPr>
          <w:rFonts w:ascii="Times New Roman" w:hAnsi="Times New Roman"/>
          <w:color w:val="3F3F3F" w:themeColor="text1" w:themeTint="BF"/>
          <w:sz w:val="28"/>
          <w:szCs w:val="28"/>
        </w:rPr>
        <w:t>порядителя, распорядителя, получателя бюджетных средств, главного адми</w:t>
      </w:r>
      <w:r>
        <w:rPr>
          <w:rFonts w:ascii="Times New Roman" w:hAnsi="Times New Roman"/>
          <w:color w:val="3F3F3F" w:themeColor="text1" w:themeTint="BF"/>
          <w:sz w:val="28"/>
          <w:szCs w:val="28"/>
        </w:rPr>
        <w:softHyphen/>
      </w:r>
      <w:r>
        <w:rPr>
          <w:rFonts w:ascii="Times New Roman" w:hAnsi="Times New Roman"/>
          <w:color w:val="3F3F3F" w:themeColor="text1" w:themeTint="BF"/>
          <w:sz w:val="28"/>
          <w:szCs w:val="28"/>
        </w:rPr>
        <w:t>нистратора, администратора источников финансирования дефицита бюджета, главного администратора, администратора доходов бюджета (форма по ОКУД 0503127) (далее - отчет об исполнении бюджета), и ожидаемое испол</w:t>
      </w:r>
      <w:r>
        <w:rPr>
          <w:rFonts w:ascii="Times New Roman" w:hAnsi="Times New Roman"/>
          <w:color w:val="3F3F3F" w:themeColor="text1" w:themeTint="BF"/>
          <w:sz w:val="28"/>
          <w:szCs w:val="28"/>
        </w:rPr>
        <w:softHyphen/>
      </w:r>
      <w:r>
        <w:rPr>
          <w:rFonts w:ascii="Times New Roman" w:hAnsi="Times New Roman"/>
          <w:color w:val="3F3F3F" w:themeColor="text1" w:themeTint="BF"/>
          <w:sz w:val="28"/>
          <w:szCs w:val="28"/>
        </w:rPr>
        <w:t>нение до конца текущего года с учетом изменений, внесенных в законодатель</w:t>
      </w:r>
      <w:r>
        <w:rPr>
          <w:rFonts w:ascii="Times New Roman" w:hAnsi="Times New Roman"/>
          <w:color w:val="3F3F3F" w:themeColor="text1" w:themeTint="BF"/>
          <w:sz w:val="28"/>
          <w:szCs w:val="28"/>
        </w:rPr>
        <w:softHyphen/>
      </w:r>
      <w:r>
        <w:rPr>
          <w:rFonts w:ascii="Times New Roman" w:hAnsi="Times New Roman"/>
          <w:color w:val="3F3F3F" w:themeColor="text1" w:themeTint="BF"/>
          <w:sz w:val="28"/>
          <w:szCs w:val="28"/>
        </w:rPr>
        <w:t>ство Российской Федерации и Хабаровского края, а также муниципальные и иные нормативные правовые акты, регулирующие порядок возмещения в доход  бюд</w:t>
      </w:r>
      <w:r>
        <w:rPr>
          <w:rFonts w:ascii="Times New Roman" w:hAnsi="Times New Roman"/>
          <w:color w:val="3F3F3F" w:themeColor="text1" w:themeTint="BF"/>
          <w:sz w:val="28"/>
          <w:szCs w:val="28"/>
        </w:rPr>
        <w:softHyphen/>
      </w:r>
      <w:r>
        <w:rPr>
          <w:rFonts w:ascii="Times New Roman" w:hAnsi="Times New Roman"/>
          <w:color w:val="3F3F3F" w:themeColor="text1" w:themeTint="BF"/>
          <w:sz w:val="28"/>
          <w:szCs w:val="28"/>
        </w:rPr>
        <w:t xml:space="preserve">жета поселения денежных взысканий, налагаемых в возмещение ущерба, причиненного в результате незаконного или нецелевого использования бюджетных средств, </w:t>
      </w:r>
      <w:r>
        <w:rPr>
          <w:rStyle w:val="27"/>
          <w:rFonts w:eastAsia="Calibri"/>
          <w:color w:val="3F3F3F" w:themeColor="text1" w:themeTint="BF"/>
        </w:rPr>
        <w:t>вступивших в силу после утверждения прогноза поступления доходов на те</w:t>
      </w:r>
      <w:r>
        <w:rPr>
          <w:rStyle w:val="27"/>
          <w:rFonts w:eastAsia="Calibri"/>
          <w:color w:val="3F3F3F" w:themeColor="text1" w:themeTint="BF"/>
        </w:rPr>
        <w:softHyphen/>
      </w:r>
      <w:r>
        <w:rPr>
          <w:rStyle w:val="27"/>
          <w:rFonts w:eastAsia="Calibri"/>
          <w:color w:val="3F3F3F" w:themeColor="text1" w:themeTint="BF"/>
        </w:rPr>
        <w:t>кущий финансовый год;</w:t>
      </w:r>
    </w:p>
    <w:p>
      <w:pPr>
        <w:pStyle w:val="19"/>
        <w:ind w:firstLine="567"/>
        <w:jc w:val="both"/>
        <w:rPr>
          <w:rStyle w:val="27"/>
          <w:rFonts w:eastAsia="Calibri"/>
          <w:color w:val="3F3F3F" w:themeColor="text1" w:themeTint="BF"/>
        </w:rPr>
      </w:pPr>
      <w:r>
        <w:rPr>
          <w:rStyle w:val="27"/>
          <w:rFonts w:eastAsia="Calibri"/>
          <w:color w:val="3F3F3F" w:themeColor="text1" w:themeTint="BF"/>
        </w:rPr>
        <w:t>Кпост- коэффициент поступлений, который рассчитывается по формуле:</w:t>
      </w:r>
    </w:p>
    <w:p>
      <w:pPr>
        <w:pStyle w:val="13"/>
        <w:ind w:firstLine="567"/>
        <w:jc w:val="both"/>
        <w:rPr>
          <w:rStyle w:val="28"/>
          <w:color w:val="3F3F3F" w:themeColor="text1" w:themeTint="BF"/>
          <w:sz w:val="28"/>
          <w:szCs w:val="28"/>
        </w:rPr>
      </w:pPr>
      <w:r>
        <w:rPr>
          <w:rStyle w:val="28"/>
          <w:color w:val="3F3F3F" w:themeColor="text1" w:themeTint="BF"/>
          <w:sz w:val="28"/>
          <w:szCs w:val="28"/>
          <w:u w:val="single"/>
        </w:rPr>
        <w:t>Пож</w:t>
      </w:r>
      <w:r>
        <w:rPr>
          <w:rStyle w:val="28"/>
          <w:color w:val="3F3F3F" w:themeColor="text1" w:themeTint="BF"/>
          <w:sz w:val="28"/>
          <w:szCs w:val="28"/>
        </w:rPr>
        <w:t>+</w:t>
      </w:r>
      <w:r>
        <w:rPr>
          <w:rStyle w:val="28"/>
          <w:color w:val="3F3F3F" w:themeColor="text1" w:themeTint="BF"/>
          <w:sz w:val="28"/>
          <w:szCs w:val="28"/>
          <w:u w:val="single"/>
        </w:rPr>
        <w:t>П</w:t>
      </w:r>
      <w:r>
        <w:rPr>
          <w:rStyle w:val="28"/>
          <w:color w:val="3F3F3F" w:themeColor="text1" w:themeTint="BF"/>
          <w:sz w:val="28"/>
          <w:szCs w:val="28"/>
          <w:u w:val="single"/>
          <w:lang w:val="en-US"/>
        </w:rPr>
        <w:t>i</w:t>
      </w:r>
    </w:p>
    <w:p>
      <w:pPr>
        <w:pStyle w:val="13"/>
        <w:ind w:firstLine="567"/>
        <w:jc w:val="both"/>
        <w:rPr>
          <w:rStyle w:val="28"/>
          <w:color w:val="3F3F3F" w:themeColor="text1" w:themeTint="BF"/>
          <w:sz w:val="28"/>
          <w:szCs w:val="28"/>
          <w:u w:val="single"/>
        </w:rPr>
      </w:pPr>
      <w:r>
        <w:rPr>
          <w:rStyle w:val="27"/>
          <w:color w:val="3F3F3F" w:themeColor="text1" w:themeTint="BF"/>
        </w:rPr>
        <w:t xml:space="preserve">К пост =  </w:t>
      </w:r>
      <w:r>
        <w:rPr>
          <w:rStyle w:val="28"/>
          <w:color w:val="3F3F3F" w:themeColor="text1" w:themeTint="BF"/>
          <w:sz w:val="28"/>
          <w:szCs w:val="28"/>
          <w:u w:val="single"/>
        </w:rPr>
        <w:t>П</w:t>
      </w:r>
      <w:r>
        <w:rPr>
          <w:rStyle w:val="28"/>
          <w:color w:val="3F3F3F" w:themeColor="text1" w:themeTint="BF"/>
          <w:sz w:val="28"/>
          <w:szCs w:val="28"/>
          <w:u w:val="single"/>
          <w:lang w:val="en-US"/>
        </w:rPr>
        <w:t>i</w:t>
      </w:r>
      <w:r>
        <w:rPr>
          <w:rStyle w:val="28"/>
          <w:color w:val="3F3F3F" w:themeColor="text1" w:themeTint="BF"/>
          <w:sz w:val="28"/>
          <w:szCs w:val="28"/>
          <w:u w:val="single"/>
        </w:rPr>
        <w:tab/>
      </w:r>
      <w:r>
        <w:rPr>
          <w:rStyle w:val="28"/>
          <w:color w:val="3F3F3F" w:themeColor="text1" w:themeTint="BF"/>
          <w:sz w:val="28"/>
          <w:szCs w:val="28"/>
          <w:u w:val="single"/>
        </w:rPr>
        <w:t>П</w:t>
      </w:r>
      <w:r>
        <w:rPr>
          <w:rStyle w:val="28"/>
          <w:color w:val="3F3F3F" w:themeColor="text1" w:themeTint="BF"/>
          <w:sz w:val="28"/>
          <w:szCs w:val="28"/>
          <w:u w:val="single"/>
          <w:lang w:val="en-US"/>
        </w:rPr>
        <w:t>i</w:t>
      </w:r>
      <w:r>
        <w:rPr>
          <w:rStyle w:val="28"/>
          <w:color w:val="3F3F3F" w:themeColor="text1" w:themeTint="BF"/>
          <w:sz w:val="28"/>
          <w:szCs w:val="28"/>
          <w:u w:val="single"/>
        </w:rPr>
        <w:t xml:space="preserve">-1 </w:t>
      </w:r>
      <w:r>
        <w:rPr>
          <w:rStyle w:val="28"/>
          <w:color w:val="3F3F3F" w:themeColor="text1" w:themeTint="BF"/>
          <w:sz w:val="28"/>
          <w:szCs w:val="28"/>
        </w:rPr>
        <w:t>, где:</w:t>
      </w:r>
    </w:p>
    <w:p>
      <w:pPr>
        <w:pStyle w:val="13"/>
        <w:tabs>
          <w:tab w:val="left" w:pos="851"/>
        </w:tabs>
        <w:jc w:val="both"/>
        <w:rPr>
          <w:rStyle w:val="27"/>
          <w:color w:val="3F3F3F" w:themeColor="text1" w:themeTint="BF"/>
        </w:rPr>
      </w:pPr>
      <w:r>
        <w:rPr>
          <w:rStyle w:val="28"/>
          <w:color w:val="3F3F3F" w:themeColor="text1" w:themeTint="BF"/>
          <w:sz w:val="28"/>
          <w:szCs w:val="28"/>
        </w:rPr>
        <w:tab/>
      </w:r>
      <w:r>
        <w:rPr>
          <w:rStyle w:val="28"/>
          <w:color w:val="3F3F3F" w:themeColor="text1" w:themeTint="BF"/>
          <w:sz w:val="28"/>
          <w:szCs w:val="28"/>
        </w:rPr>
        <w:tab/>
      </w:r>
      <w:r>
        <w:rPr>
          <w:rStyle w:val="28"/>
          <w:color w:val="3F3F3F" w:themeColor="text1" w:themeTint="BF"/>
          <w:sz w:val="28"/>
          <w:szCs w:val="28"/>
        </w:rPr>
        <w:tab/>
      </w:r>
      <w:r>
        <w:rPr>
          <w:rStyle w:val="27"/>
          <w:color w:val="3F3F3F" w:themeColor="text1" w:themeTint="BF"/>
        </w:rPr>
        <w:t>2</w:t>
      </w:r>
    </w:p>
    <w:p>
      <w:pPr>
        <w:pStyle w:val="13"/>
        <w:tabs>
          <w:tab w:val="left" w:pos="851"/>
        </w:tabs>
        <w:jc w:val="both"/>
        <w:rPr>
          <w:color w:val="3F3F3F" w:themeColor="text1" w:themeTint="BF"/>
          <w:szCs w:val="28"/>
        </w:rPr>
      </w:pPr>
      <w:r>
        <w:rPr>
          <w:rStyle w:val="28"/>
          <w:color w:val="3F3F3F" w:themeColor="text1" w:themeTint="BF"/>
          <w:sz w:val="28"/>
          <w:szCs w:val="28"/>
        </w:rPr>
        <w:t>П</w:t>
      </w:r>
      <w:r>
        <w:rPr>
          <w:rStyle w:val="28"/>
          <w:color w:val="3F3F3F" w:themeColor="text1" w:themeTint="BF"/>
          <w:sz w:val="28"/>
          <w:szCs w:val="28"/>
          <w:lang w:val="en-US"/>
        </w:rPr>
        <w:t>i</w:t>
      </w:r>
      <w:r>
        <w:rPr>
          <w:rStyle w:val="28"/>
          <w:color w:val="3F3F3F" w:themeColor="text1" w:themeTint="BF"/>
          <w:sz w:val="28"/>
          <w:szCs w:val="28"/>
        </w:rPr>
        <w:t>, П</w:t>
      </w:r>
      <w:r>
        <w:rPr>
          <w:rStyle w:val="28"/>
          <w:color w:val="3F3F3F" w:themeColor="text1" w:themeTint="BF"/>
          <w:sz w:val="28"/>
          <w:szCs w:val="28"/>
          <w:lang w:val="en-US"/>
        </w:rPr>
        <w:t>i</w:t>
      </w:r>
      <w:r>
        <w:rPr>
          <w:rStyle w:val="28"/>
          <w:color w:val="3F3F3F" w:themeColor="text1" w:themeTint="BF"/>
          <w:sz w:val="28"/>
          <w:szCs w:val="28"/>
        </w:rPr>
        <w:t xml:space="preserve">-1- </w:t>
      </w:r>
      <w:r>
        <w:rPr>
          <w:color w:val="3F3F3F" w:themeColor="text1" w:themeTint="BF"/>
          <w:szCs w:val="28"/>
        </w:rPr>
        <w:t>фактический объем поступлений за два отчетных года, пред</w:t>
      </w:r>
      <w:r>
        <w:rPr>
          <w:color w:val="3F3F3F" w:themeColor="text1" w:themeTint="BF"/>
          <w:szCs w:val="28"/>
        </w:rPr>
        <w:softHyphen/>
      </w:r>
      <w:r>
        <w:rPr>
          <w:color w:val="3F3F3F" w:themeColor="text1" w:themeTint="BF"/>
          <w:szCs w:val="28"/>
        </w:rPr>
        <w:t>шествующих текущему финансовому году, по данным отчетов об исполнении бюджета, скорректированный с учетом изменений внесенных в законодатель</w:t>
      </w:r>
      <w:r>
        <w:rPr>
          <w:color w:val="3F3F3F" w:themeColor="text1" w:themeTint="BF"/>
          <w:szCs w:val="28"/>
        </w:rPr>
        <w:softHyphen/>
      </w:r>
      <w:r>
        <w:rPr>
          <w:color w:val="3F3F3F" w:themeColor="text1" w:themeTint="BF"/>
          <w:szCs w:val="28"/>
        </w:rPr>
        <w:t>ство Российской Федерации и Хабаровского края, а также муниципальные и иные нормативные правовые акты, регулирующие порядок возмещения в доход бюд</w:t>
      </w:r>
      <w:r>
        <w:rPr>
          <w:color w:val="3F3F3F" w:themeColor="text1" w:themeTint="BF"/>
          <w:szCs w:val="28"/>
        </w:rPr>
        <w:softHyphen/>
      </w:r>
      <w:r>
        <w:rPr>
          <w:color w:val="3F3F3F" w:themeColor="text1" w:themeTint="BF"/>
          <w:szCs w:val="28"/>
        </w:rPr>
        <w:t>жета поселения  денежных взысканий, налагаемых в возмещение ущерба, причиненного в результате незаконного или нецелевого использования бюджетных средств, оказавших влияние на порядок администрирования данных неналоговых по</w:t>
      </w:r>
      <w:r>
        <w:rPr>
          <w:color w:val="3F3F3F" w:themeColor="text1" w:themeTint="BF"/>
          <w:szCs w:val="28"/>
        </w:rPr>
        <w:softHyphen/>
      </w:r>
      <w:r>
        <w:rPr>
          <w:color w:val="3F3F3F" w:themeColor="text1" w:themeTint="BF"/>
          <w:szCs w:val="28"/>
        </w:rPr>
        <w:t>ступлений и вступивших в силу в течение двух отчетных лет, предшествую</w:t>
      </w:r>
      <w:r>
        <w:rPr>
          <w:color w:val="3F3F3F" w:themeColor="text1" w:themeTint="BF"/>
          <w:szCs w:val="28"/>
        </w:rPr>
        <w:softHyphen/>
      </w:r>
      <w:r>
        <w:rPr>
          <w:color w:val="3F3F3F" w:themeColor="text1" w:themeTint="BF"/>
          <w:szCs w:val="28"/>
        </w:rPr>
        <w:t>щих текущему финансовому году, либо в текущем финансовом году</w:t>
      </w:r>
      <w:r>
        <w:rPr>
          <w:rStyle w:val="6"/>
          <w:color w:val="3F3F3F" w:themeColor="text1" w:themeTint="BF"/>
          <w:szCs w:val="28"/>
        </w:rPr>
        <w:footnoteReference w:id="0"/>
      </w:r>
      <w:r>
        <w:rPr>
          <w:color w:val="3F3F3F" w:themeColor="text1" w:themeTint="BF"/>
          <w:szCs w:val="28"/>
        </w:rPr>
        <w:t>.</w:t>
      </w:r>
    </w:p>
    <w:p>
      <w:pPr>
        <w:pStyle w:val="13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Прогноз объема поступлений денежных взысканий на плановый период принимается равным прогнозу объема данных поступлений на очередной фи</w:t>
      </w:r>
      <w:r>
        <w:rPr>
          <w:color w:val="3F3F3F" w:themeColor="text1" w:themeTint="BF"/>
        </w:rPr>
        <w:softHyphen/>
      </w:r>
      <w:r>
        <w:rPr>
          <w:color w:val="3F3F3F" w:themeColor="text1" w:themeTint="BF"/>
        </w:rPr>
        <w:t>нансовый год.</w:t>
      </w:r>
    </w:p>
    <w:p>
      <w:pPr>
        <w:pStyle w:val="13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3.2.2. Прогнозирование объемов поступлений от денежных взысканий (штрафов):</w:t>
      </w:r>
    </w:p>
    <w:p>
      <w:pPr>
        <w:pStyle w:val="13"/>
        <w:ind w:firstLine="567"/>
        <w:jc w:val="both"/>
        <w:rPr>
          <w:color w:val="3F3F3F" w:themeColor="text1" w:themeTint="BF"/>
          <w:szCs w:val="28"/>
        </w:rPr>
      </w:pPr>
      <w:r>
        <w:rPr>
          <w:b/>
          <w:color w:val="3F3F3F" w:themeColor="text1" w:themeTint="BF"/>
          <w:szCs w:val="28"/>
        </w:rPr>
        <w:t xml:space="preserve">КБК 806 1 16 10100 10 0000 140 - </w:t>
      </w:r>
      <w:r>
        <w:rPr>
          <w:color w:val="3F3F3F" w:themeColor="text1" w:themeTint="BF"/>
          <w:szCs w:val="28"/>
        </w:rPr>
        <w:t>д</w:t>
      </w:r>
      <w:r>
        <w:rPr>
          <w:rFonts w:eastAsiaTheme="minorHAnsi"/>
          <w:color w:val="3F3F3F" w:themeColor="text1" w:themeTint="BF"/>
          <w:szCs w:val="28"/>
          <w:lang w:eastAsia="en-US"/>
        </w:rPr>
        <w:t>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</w:r>
      <w:r>
        <w:rPr>
          <w:color w:val="3F3F3F" w:themeColor="text1" w:themeTint="BF"/>
          <w:szCs w:val="28"/>
        </w:rPr>
        <w:t>;</w:t>
      </w:r>
    </w:p>
    <w:p>
      <w:pPr>
        <w:pStyle w:val="13"/>
        <w:ind w:firstLine="567"/>
        <w:jc w:val="both"/>
        <w:rPr>
          <w:color w:val="3F3F3F" w:themeColor="text1" w:themeTint="BF"/>
          <w:szCs w:val="28"/>
        </w:rPr>
      </w:pPr>
      <w:r>
        <w:rPr>
          <w:b/>
          <w:color w:val="3F3F3F" w:themeColor="text1" w:themeTint="BF"/>
          <w:szCs w:val="28"/>
        </w:rPr>
        <w:t xml:space="preserve">КБК 806 1 16 10061 10 0000 140 - </w:t>
      </w:r>
      <w:r>
        <w:rPr>
          <w:color w:val="3F3F3F" w:themeColor="text1" w:themeTint="BF"/>
          <w:szCs w:val="28"/>
        </w:rPr>
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фонда;</w:t>
      </w:r>
    </w:p>
    <w:p>
      <w:pPr>
        <w:pStyle w:val="13"/>
        <w:ind w:firstLine="567"/>
        <w:jc w:val="both"/>
        <w:rPr>
          <w:rFonts w:eastAsiaTheme="minorHAnsi"/>
          <w:color w:val="3F3F3F" w:themeColor="text1" w:themeTint="BF"/>
          <w:szCs w:val="28"/>
          <w:lang w:eastAsia="en-US"/>
        </w:rPr>
      </w:pPr>
      <w:r>
        <w:rPr>
          <w:b/>
          <w:color w:val="3F3F3F" w:themeColor="text1" w:themeTint="BF"/>
          <w:szCs w:val="28"/>
          <w:shd w:val="clear" w:color="auto" w:fill="FFFFFF"/>
        </w:rPr>
        <w:t>КБК 806 1 16 10062 10 0000 140</w:t>
      </w:r>
      <w:r>
        <w:rPr>
          <w:color w:val="3F3F3F" w:themeColor="text1" w:themeTint="BF"/>
          <w:szCs w:val="28"/>
          <w:shd w:val="clear" w:color="auto" w:fill="FFFFFF"/>
        </w:rPr>
        <w:t xml:space="preserve"> </w:t>
      </w:r>
      <w:r>
        <w:rPr>
          <w:b/>
          <w:color w:val="3F3F3F" w:themeColor="text1" w:themeTint="BF"/>
          <w:szCs w:val="28"/>
          <w:shd w:val="clear" w:color="auto" w:fill="FFFFFF"/>
        </w:rPr>
        <w:t>-</w:t>
      </w:r>
      <w:r>
        <w:rPr>
          <w:color w:val="3F3F3F" w:themeColor="text1" w:themeTint="BF"/>
          <w:szCs w:val="28"/>
          <w:shd w:val="clear" w:color="auto" w:fill="FFFFFF"/>
        </w:rPr>
        <w:t xml:space="preserve"> п</w:t>
      </w:r>
      <w:r>
        <w:rPr>
          <w:rFonts w:eastAsiaTheme="minorHAnsi"/>
          <w:color w:val="3F3F3F" w:themeColor="text1" w:themeTint="BF"/>
          <w:szCs w:val="28"/>
          <w:lang w:eastAsia="en-US"/>
        </w:rPr>
        <w:t>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фонда);</w:t>
      </w:r>
    </w:p>
    <w:p>
      <w:pPr>
        <w:pStyle w:val="13"/>
        <w:ind w:firstLine="567"/>
        <w:jc w:val="both"/>
        <w:rPr>
          <w:rFonts w:eastAsiaTheme="minorHAnsi"/>
          <w:color w:val="3F3F3F" w:themeColor="text1" w:themeTint="BF"/>
          <w:szCs w:val="28"/>
          <w:lang w:eastAsia="en-US"/>
        </w:rPr>
      </w:pPr>
      <w:r>
        <w:rPr>
          <w:rFonts w:eastAsiaTheme="minorHAnsi"/>
          <w:b/>
          <w:color w:val="3F3F3F" w:themeColor="text1" w:themeTint="BF"/>
          <w:szCs w:val="28"/>
          <w:lang w:eastAsia="en-US"/>
        </w:rPr>
        <w:t>КБК 806 1 16 10062 10 0000 140 -</w:t>
      </w:r>
      <w:r>
        <w:rPr>
          <w:rFonts w:eastAsiaTheme="minorHAnsi"/>
          <w:color w:val="3F3F3F" w:themeColor="text1" w:themeTint="BF"/>
          <w:szCs w:val="28"/>
          <w:lang w:eastAsia="en-US"/>
        </w:rPr>
        <w:t xml:space="preserve"> 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>
      <w:pPr>
        <w:pStyle w:val="13"/>
        <w:ind w:firstLine="567"/>
        <w:jc w:val="both"/>
        <w:rPr>
          <w:color w:val="3F3F3F" w:themeColor="text1" w:themeTint="BF"/>
          <w:szCs w:val="28"/>
        </w:rPr>
      </w:pPr>
      <w:r>
        <w:rPr>
          <w:b/>
          <w:color w:val="3F3F3F" w:themeColor="text1" w:themeTint="BF"/>
          <w:szCs w:val="28"/>
        </w:rPr>
        <w:t xml:space="preserve">КБК 806 1 16 10081 10 0000 140 - </w:t>
      </w:r>
      <w:r>
        <w:rPr>
          <w:color w:val="3F3F3F" w:themeColor="text1" w:themeTint="BF"/>
          <w:szCs w:val="28"/>
        </w:rPr>
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фонда);</w:t>
      </w:r>
    </w:p>
    <w:p>
      <w:pPr>
        <w:pStyle w:val="13"/>
        <w:ind w:firstLine="567"/>
        <w:jc w:val="both"/>
        <w:rPr>
          <w:rFonts w:eastAsiaTheme="minorHAnsi"/>
          <w:color w:val="3F3F3F" w:themeColor="text1" w:themeTint="BF"/>
          <w:szCs w:val="28"/>
          <w:lang w:eastAsia="en-US"/>
        </w:rPr>
      </w:pPr>
      <w:r>
        <w:rPr>
          <w:b/>
          <w:color w:val="3F3F3F" w:themeColor="text1" w:themeTint="BF"/>
          <w:szCs w:val="28"/>
        </w:rPr>
        <w:t xml:space="preserve">КБК 806 1 16 10082 10 0000 140 - </w:t>
      </w:r>
      <w:r>
        <w:rPr>
          <w:color w:val="3F3F3F" w:themeColor="text1" w:themeTint="BF"/>
          <w:szCs w:val="28"/>
        </w:rPr>
        <w:t>п</w:t>
      </w:r>
      <w:r>
        <w:rPr>
          <w:rFonts w:eastAsiaTheme="minorHAnsi"/>
          <w:color w:val="3F3F3F" w:themeColor="text1" w:themeTint="BF"/>
          <w:szCs w:val="28"/>
          <w:lang w:eastAsia="en-US"/>
        </w:rPr>
        <w:t>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исполнения.</w:t>
      </w:r>
    </w:p>
    <w:p>
      <w:pPr>
        <w:pStyle w:val="13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Прогноз объема поступлений административных штрафов рассчитыва</w:t>
      </w:r>
      <w:r>
        <w:rPr>
          <w:color w:val="3F3F3F" w:themeColor="text1" w:themeTint="BF"/>
        </w:rPr>
        <w:softHyphen/>
      </w:r>
      <w:r>
        <w:rPr>
          <w:color w:val="3F3F3F" w:themeColor="text1" w:themeTint="BF"/>
        </w:rPr>
        <w:t>ется как сумма прогноза поступлений административных штрафов по каждой статье КоАП РФ по следующей формуле:</w:t>
      </w:r>
    </w:p>
    <w:p>
      <w:pPr>
        <w:pStyle w:val="13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Д = ƩД</w:t>
      </w:r>
      <w:r>
        <w:rPr>
          <w:color w:val="3F3F3F" w:themeColor="text1" w:themeTint="BF"/>
          <w:lang w:val="en-US"/>
        </w:rPr>
        <w:t>g</w:t>
      </w:r>
      <w:r>
        <w:rPr>
          <w:color w:val="3F3F3F" w:themeColor="text1" w:themeTint="BF"/>
        </w:rPr>
        <w:t>, где:</w:t>
      </w:r>
    </w:p>
    <w:p>
      <w:pPr>
        <w:pStyle w:val="13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Д - прогноз объема поступлений административных штрафов;</w:t>
      </w:r>
    </w:p>
    <w:p>
      <w:pPr>
        <w:pStyle w:val="13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Д</w:t>
      </w:r>
      <w:r>
        <w:rPr>
          <w:color w:val="3F3F3F" w:themeColor="text1" w:themeTint="BF"/>
          <w:lang w:val="en-US"/>
        </w:rPr>
        <w:t>g</w:t>
      </w:r>
      <w:r>
        <w:rPr>
          <w:color w:val="3F3F3F" w:themeColor="text1" w:themeTint="BF"/>
        </w:rPr>
        <w:t xml:space="preserve"> - прогноз поступлений административных штрафов по соответству</w:t>
      </w:r>
      <w:r>
        <w:rPr>
          <w:color w:val="3F3F3F" w:themeColor="text1" w:themeTint="BF"/>
        </w:rPr>
        <w:softHyphen/>
      </w:r>
      <w:r>
        <w:rPr>
          <w:color w:val="3F3F3F" w:themeColor="text1" w:themeTint="BF"/>
        </w:rPr>
        <w:t>ющей статье КоАП РФ.</w:t>
      </w:r>
    </w:p>
    <w:p>
      <w:pPr>
        <w:pStyle w:val="13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Д</w:t>
      </w:r>
      <w:r>
        <w:rPr>
          <w:color w:val="3F3F3F" w:themeColor="text1" w:themeTint="BF"/>
          <w:lang w:val="en-US"/>
        </w:rPr>
        <w:t>g</w:t>
      </w:r>
      <w:r>
        <w:rPr>
          <w:color w:val="3F3F3F" w:themeColor="text1" w:themeTint="BF"/>
        </w:rPr>
        <w:t xml:space="preserve"> = К</w:t>
      </w:r>
      <w:r>
        <w:rPr>
          <w:color w:val="3F3F3F" w:themeColor="text1" w:themeTint="BF"/>
          <w:lang w:val="en-US"/>
        </w:rPr>
        <w:t>g</w:t>
      </w:r>
      <w:r>
        <w:rPr>
          <w:color w:val="3F3F3F" w:themeColor="text1" w:themeTint="BF"/>
        </w:rPr>
        <w:t xml:space="preserve"> х </w:t>
      </w:r>
      <w:r>
        <w:rPr>
          <w:color w:val="3F3F3F" w:themeColor="text1" w:themeTint="BF"/>
          <w:lang w:val="en-US" w:bidi="en-US"/>
        </w:rPr>
        <w:t>P</w:t>
      </w:r>
      <w:r>
        <w:rPr>
          <w:color w:val="3F3F3F" w:themeColor="text1" w:themeTint="BF"/>
          <w:vertAlign w:val="subscript"/>
          <w:lang w:val="en-US" w:bidi="en-US"/>
        </w:rPr>
        <w:t>g</w:t>
      </w:r>
      <w:r>
        <w:rPr>
          <w:color w:val="3F3F3F" w:themeColor="text1" w:themeTint="BF"/>
          <w:lang w:bidi="en-US"/>
        </w:rPr>
        <w:t xml:space="preserve">, </w:t>
      </w:r>
      <w:r>
        <w:rPr>
          <w:color w:val="3F3F3F" w:themeColor="text1" w:themeTint="BF"/>
        </w:rPr>
        <w:t>где:</w:t>
      </w:r>
    </w:p>
    <w:p>
      <w:pPr>
        <w:pStyle w:val="13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  <w:lang w:val="en-US" w:bidi="en-US"/>
        </w:rPr>
        <w:t>g</w:t>
      </w:r>
      <w:r>
        <w:rPr>
          <w:color w:val="3F3F3F" w:themeColor="text1" w:themeTint="BF"/>
        </w:rPr>
        <w:t>- статья КоАП РФ;</w:t>
      </w:r>
    </w:p>
    <w:p>
      <w:pPr>
        <w:pStyle w:val="13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  <w:lang w:val="en-US" w:bidi="en-US"/>
        </w:rPr>
        <w:t>P</w:t>
      </w:r>
      <w:r>
        <w:rPr>
          <w:color w:val="3F3F3F" w:themeColor="text1" w:themeTint="BF"/>
          <w:vertAlign w:val="subscript"/>
          <w:lang w:val="en-US" w:bidi="en-US"/>
        </w:rPr>
        <w:t>g</w:t>
      </w:r>
      <w:r>
        <w:rPr>
          <w:color w:val="3F3F3F" w:themeColor="text1" w:themeTint="BF"/>
          <w:lang w:bidi="en-US"/>
        </w:rPr>
        <w:t xml:space="preserve">— </w:t>
      </w:r>
      <w:r>
        <w:rPr>
          <w:color w:val="3F3F3F" w:themeColor="text1" w:themeTint="BF"/>
        </w:rPr>
        <w:t>минимальный размер административного штрафа по соответствую</w:t>
      </w:r>
      <w:r>
        <w:rPr>
          <w:color w:val="3F3F3F" w:themeColor="text1" w:themeTint="BF"/>
        </w:rPr>
        <w:softHyphen/>
      </w:r>
      <w:r>
        <w:rPr>
          <w:color w:val="3F3F3F" w:themeColor="text1" w:themeTint="BF"/>
        </w:rPr>
        <w:t>щей статье КоАП РФ;</w:t>
      </w:r>
    </w:p>
    <w:p>
      <w:pPr>
        <w:pStyle w:val="13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  <w:lang w:val="en-US" w:bidi="en-US"/>
        </w:rPr>
        <w:t>K</w:t>
      </w:r>
      <w:r>
        <w:rPr>
          <w:color w:val="3F3F3F" w:themeColor="text1" w:themeTint="BF"/>
          <w:vertAlign w:val="subscript"/>
          <w:lang w:val="en-US" w:bidi="en-US"/>
        </w:rPr>
        <w:t>g</w:t>
      </w:r>
      <w:r>
        <w:rPr>
          <w:color w:val="3F3F3F" w:themeColor="text1" w:themeTint="BF"/>
        </w:rPr>
        <w:t>- прогнозируемое количество административных правонарушений по соответствующей статье КоАП РФ.</w:t>
      </w:r>
    </w:p>
    <w:p>
      <w:pPr>
        <w:pStyle w:val="13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  <w:lang w:val="en-US" w:bidi="en-US"/>
        </w:rPr>
        <w:t>K</w:t>
      </w:r>
      <w:r>
        <w:rPr>
          <w:color w:val="3F3F3F" w:themeColor="text1" w:themeTint="BF"/>
          <w:vertAlign w:val="subscript"/>
          <w:lang w:val="en-US" w:bidi="en-US"/>
        </w:rPr>
        <w:t>g</w:t>
      </w:r>
      <w:r>
        <w:rPr>
          <w:color w:val="3F3F3F" w:themeColor="text1" w:themeTint="BF"/>
        </w:rPr>
        <w:t>определяется на основании учетных данных по делам об административных правонарушениях за три года, предшествующих планируемому году или за весь период закрепления в КоАП РФ соответствующего административного правонарушения в случае, если этот период не превышает три года.</w:t>
      </w:r>
    </w:p>
    <w:p>
      <w:pPr>
        <w:pStyle w:val="13"/>
        <w:ind w:firstLine="567"/>
        <w:jc w:val="both"/>
        <w:rPr>
          <w:color w:val="3F3F3F" w:themeColor="text1" w:themeTint="BF"/>
          <w:szCs w:val="28"/>
        </w:rPr>
      </w:pPr>
      <w:r>
        <w:rPr>
          <w:color w:val="3F3F3F" w:themeColor="text1" w:themeTint="BF"/>
        </w:rPr>
        <w:t>Прогноз объема поступлений административных штрафов на плановый период принимается равным прогнозу объема данных поступлений на очеред</w:t>
      </w:r>
      <w:r>
        <w:rPr>
          <w:color w:val="3F3F3F" w:themeColor="text1" w:themeTint="BF"/>
        </w:rPr>
        <w:softHyphen/>
      </w:r>
      <w:r>
        <w:rPr>
          <w:color w:val="3F3F3F" w:themeColor="text1" w:themeTint="BF"/>
        </w:rPr>
        <w:t>ной финансовый год.</w:t>
      </w:r>
    </w:p>
    <w:p>
      <w:pPr>
        <w:pStyle w:val="25"/>
        <w:shd w:val="clear" w:color="auto" w:fill="auto"/>
        <w:spacing w:after="0" w:line="317" w:lineRule="exact"/>
        <w:ind w:firstLine="640"/>
        <w:jc w:val="both"/>
        <w:rPr>
          <w:color w:val="3F3F3F" w:themeColor="text1" w:themeTint="BF"/>
        </w:rPr>
      </w:pPr>
    </w:p>
    <w:p>
      <w:pPr>
        <w:pStyle w:val="25"/>
        <w:shd w:val="clear" w:color="auto" w:fill="auto"/>
        <w:spacing w:after="0" w:line="317" w:lineRule="exact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4. Безвозмездные поступления</w:t>
      </w:r>
    </w:p>
    <w:p>
      <w:pPr>
        <w:pStyle w:val="25"/>
        <w:shd w:val="clear" w:color="auto" w:fill="auto"/>
        <w:spacing w:after="0" w:line="317" w:lineRule="exact"/>
        <w:ind w:firstLine="567"/>
        <w:jc w:val="both"/>
        <w:rPr>
          <w:color w:val="3F3F3F" w:themeColor="text1" w:themeTint="BF"/>
        </w:rPr>
      </w:pPr>
    </w:p>
    <w:p>
      <w:pPr>
        <w:pStyle w:val="25"/>
        <w:shd w:val="clear" w:color="auto" w:fill="auto"/>
        <w:spacing w:after="0" w:line="317" w:lineRule="exact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Прогноз объема поступлений безвозмездных поступлений в бюджет сельского поселения:</w:t>
      </w:r>
    </w:p>
    <w:p>
      <w:pPr>
        <w:ind w:right="-2" w:firstLine="567"/>
        <w:jc w:val="both"/>
        <w:rPr>
          <w:color w:val="3F3F3F" w:themeColor="text1" w:themeTint="BF"/>
          <w:sz w:val="28"/>
          <w:szCs w:val="28"/>
          <w:lang w:eastAsia="en-US"/>
        </w:rPr>
      </w:pPr>
      <w:r>
        <w:rPr>
          <w:b/>
          <w:color w:val="3F3F3F" w:themeColor="text1" w:themeTint="BF"/>
          <w:sz w:val="28"/>
          <w:szCs w:val="28"/>
        </w:rPr>
        <w:t>КБК 806 2 02 16001 10 0000 150</w:t>
      </w:r>
      <w:r>
        <w:rPr>
          <w:color w:val="3F3F3F" w:themeColor="text1" w:themeTint="BF"/>
          <w:sz w:val="28"/>
          <w:szCs w:val="28"/>
        </w:rPr>
        <w:t xml:space="preserve"> </w:t>
      </w:r>
      <w:r>
        <w:rPr>
          <w:b/>
          <w:color w:val="3F3F3F" w:themeColor="text1" w:themeTint="BF"/>
          <w:sz w:val="28"/>
          <w:szCs w:val="28"/>
        </w:rPr>
        <w:t>-</w:t>
      </w:r>
      <w:r>
        <w:rPr>
          <w:color w:val="3F3F3F" w:themeColor="text1" w:themeTint="BF"/>
          <w:sz w:val="28"/>
          <w:szCs w:val="28"/>
          <w:lang w:eastAsia="en-US"/>
        </w:rPr>
        <w:t xml:space="preserve"> дотация бюджетам сельских поселений на выравнивание бюджетной обеспеченности из бюджетов муниципальных районов;</w:t>
      </w:r>
    </w:p>
    <w:p>
      <w:pPr>
        <w:ind w:right="-2" w:firstLine="567"/>
        <w:jc w:val="both"/>
        <w:rPr>
          <w:color w:val="3F3F3F" w:themeColor="text1" w:themeTint="BF"/>
          <w:sz w:val="28"/>
          <w:szCs w:val="28"/>
          <w:lang w:eastAsia="en-US"/>
        </w:rPr>
      </w:pPr>
      <w:r>
        <w:rPr>
          <w:b/>
          <w:color w:val="3F3F3F" w:themeColor="text1" w:themeTint="BF"/>
          <w:sz w:val="28"/>
          <w:szCs w:val="28"/>
        </w:rPr>
        <w:t xml:space="preserve">КБК </w:t>
      </w:r>
      <w:r>
        <w:rPr>
          <w:b/>
          <w:bCs/>
          <w:color w:val="3F3F3F" w:themeColor="text1" w:themeTint="BF"/>
          <w:sz w:val="28"/>
          <w:szCs w:val="28"/>
        </w:rPr>
        <w:t xml:space="preserve">806 2 02 35118 10 0000150 </w:t>
      </w:r>
      <w:r>
        <w:rPr>
          <w:b/>
          <w:color w:val="3F3F3F" w:themeColor="text1" w:themeTint="BF"/>
          <w:sz w:val="28"/>
          <w:szCs w:val="28"/>
        </w:rPr>
        <w:t>-</w:t>
      </w:r>
      <w:r>
        <w:rPr>
          <w:color w:val="3F3F3F" w:themeColor="text1" w:themeTint="BF"/>
          <w:sz w:val="28"/>
          <w:szCs w:val="28"/>
          <w:lang w:eastAsia="en-US"/>
        </w:rPr>
        <w:t xml:space="preserve"> субвенции бюджетам сельских поселений на государственную регистрацию актов гражданского состояния;</w:t>
      </w:r>
    </w:p>
    <w:p>
      <w:pPr>
        <w:ind w:right="-2" w:firstLine="567"/>
        <w:jc w:val="both"/>
        <w:rPr>
          <w:color w:val="3F3F3F" w:themeColor="text1" w:themeTint="BF"/>
          <w:sz w:val="28"/>
          <w:szCs w:val="28"/>
          <w:lang w:eastAsia="en-US"/>
        </w:rPr>
      </w:pPr>
      <w:r>
        <w:rPr>
          <w:b/>
          <w:color w:val="3F3F3F" w:themeColor="text1" w:themeTint="BF"/>
          <w:sz w:val="28"/>
          <w:szCs w:val="28"/>
        </w:rPr>
        <w:t xml:space="preserve">КБК 806 </w:t>
      </w:r>
      <w:r>
        <w:rPr>
          <w:b/>
          <w:bCs/>
          <w:color w:val="3F3F3F" w:themeColor="text1" w:themeTint="BF"/>
          <w:sz w:val="28"/>
          <w:szCs w:val="28"/>
        </w:rPr>
        <w:t xml:space="preserve">2 02 35930 10 0000 150 </w:t>
      </w:r>
      <w:r>
        <w:rPr>
          <w:b/>
          <w:color w:val="3F3F3F" w:themeColor="text1" w:themeTint="BF"/>
          <w:sz w:val="28"/>
          <w:szCs w:val="28"/>
        </w:rPr>
        <w:t>-</w:t>
      </w:r>
      <w:r>
        <w:rPr>
          <w:color w:val="3F3F3F" w:themeColor="text1" w:themeTint="BF"/>
          <w:sz w:val="28"/>
          <w:szCs w:val="28"/>
          <w:lang w:eastAsia="en-US"/>
        </w:rPr>
        <w:t xml:space="preserve"> субвенции бюджетам сельских поселений на осуществление первичного воинского учета на территориях, где отсутствуют военные комиссариаты;</w:t>
      </w:r>
    </w:p>
    <w:p>
      <w:pPr>
        <w:ind w:right="-2" w:firstLine="567"/>
        <w:jc w:val="both"/>
        <w:rPr>
          <w:color w:val="3F3F3F" w:themeColor="text1" w:themeTint="BF"/>
          <w:sz w:val="28"/>
          <w:szCs w:val="28"/>
          <w:lang w:eastAsia="en-US"/>
        </w:rPr>
      </w:pPr>
      <w:r>
        <w:rPr>
          <w:b/>
          <w:color w:val="3F3F3F" w:themeColor="text1" w:themeTint="BF"/>
          <w:sz w:val="28"/>
          <w:szCs w:val="28"/>
        </w:rPr>
        <w:t xml:space="preserve">КБК 806 2 02 49999 10 0000 150 - </w:t>
      </w:r>
      <w:r>
        <w:rPr>
          <w:color w:val="3F3F3F" w:themeColor="text1" w:themeTint="BF"/>
          <w:sz w:val="28"/>
          <w:szCs w:val="28"/>
        </w:rPr>
        <w:t>п</w:t>
      </w:r>
      <w:r>
        <w:rPr>
          <w:color w:val="3F3F3F" w:themeColor="text1" w:themeTint="BF"/>
          <w:sz w:val="28"/>
          <w:szCs w:val="28"/>
          <w:lang w:eastAsia="en-US"/>
        </w:rPr>
        <w:t>рочие межбюджетные трансферты, передаваемые бюджетам сельских поселений.</w:t>
      </w:r>
    </w:p>
    <w:p>
      <w:pPr>
        <w:ind w:right="-2"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Осуществляется следующими методами:</w:t>
      </w:r>
    </w:p>
    <w:p>
      <w:pPr>
        <w:ind w:right="-2"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4.1. В соответствии с результатами распределения дотаций и ИМБТ на выравнивание бюджетной обеспеченности между поселениями Верхнебуреинского муниципального района Хабаровского края,  утверждаемыми решением Собрания депутатов Верхнебуреинского муниципального района Хабаровского края о районном бюджете на очередной финансовый 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</w:r>
      <w:r>
        <w:rPr>
          <w:color w:val="3F3F3F" w:themeColor="text1" w:themeTint="BF"/>
          <w:sz w:val="28"/>
          <w:szCs w:val="28"/>
        </w:rPr>
        <w:softHyphen/>
      </w:r>
      <w:r>
        <w:rPr>
          <w:color w:val="3F3F3F" w:themeColor="text1" w:themeTint="BF"/>
          <w:sz w:val="28"/>
          <w:szCs w:val="28"/>
        </w:rPr>
        <w:t>мыми законом Хабаровского края о краевом бюджете на очередной финансо</w:t>
      </w:r>
      <w:r>
        <w:rPr>
          <w:color w:val="3F3F3F" w:themeColor="text1" w:themeTint="BF"/>
          <w:sz w:val="28"/>
          <w:szCs w:val="28"/>
        </w:rPr>
        <w:softHyphen/>
      </w:r>
      <w:r>
        <w:rPr>
          <w:color w:val="3F3F3F" w:themeColor="text1" w:themeTint="BF"/>
          <w:sz w:val="28"/>
          <w:szCs w:val="28"/>
        </w:rPr>
        <w:t>вый год и плановый период.</w:t>
      </w:r>
    </w:p>
    <w:p>
      <w:pPr>
        <w:ind w:right="-2"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4.2. На уровне текущего финансового года (при отсутствии информации о результатах распределения дотаций и ИМБТ на выравнивание бюджетной обеспеченности между поселениями Верхнебуреинского муниципального района Хабаровского края, утверждаемыми решением Собрания депутатов Верхнебуреинского муниципального района Хабаровского края о районном бюджете на текущий финансовый 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</w:r>
      <w:r>
        <w:rPr>
          <w:color w:val="3F3F3F" w:themeColor="text1" w:themeTint="BF"/>
          <w:sz w:val="28"/>
          <w:szCs w:val="28"/>
        </w:rPr>
        <w:softHyphen/>
      </w:r>
      <w:r>
        <w:rPr>
          <w:color w:val="3F3F3F" w:themeColor="text1" w:themeTint="BF"/>
          <w:sz w:val="28"/>
          <w:szCs w:val="28"/>
        </w:rPr>
        <w:t>мыми законом Хабаровского края о краевом бюджете на текущий финансо</w:t>
      </w:r>
      <w:r>
        <w:rPr>
          <w:color w:val="3F3F3F" w:themeColor="text1" w:themeTint="BF"/>
          <w:sz w:val="28"/>
          <w:szCs w:val="28"/>
        </w:rPr>
        <w:softHyphen/>
      </w:r>
      <w:r>
        <w:rPr>
          <w:color w:val="3F3F3F" w:themeColor="text1" w:themeTint="BF"/>
          <w:sz w:val="28"/>
          <w:szCs w:val="28"/>
        </w:rPr>
        <w:t>вый год и плановый период.</w:t>
      </w:r>
    </w:p>
    <w:p>
      <w:pPr>
        <w:ind w:right="-365" w:firstLine="567"/>
        <w:jc w:val="both"/>
        <w:rPr>
          <w:color w:val="3F3F3F" w:themeColor="text1" w:themeTint="BF"/>
          <w:sz w:val="28"/>
          <w:szCs w:val="28"/>
        </w:rPr>
      </w:pPr>
    </w:p>
    <w:p>
      <w:pPr>
        <w:ind w:right="-2"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5. Прогнозирование объема поступлений по перечисленным ниже видам доходов на этапе формирования проекта бюджета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расчета:</w:t>
      </w:r>
    </w:p>
    <w:p>
      <w:pPr>
        <w:ind w:right="-2" w:firstLine="567"/>
        <w:jc w:val="both"/>
        <w:rPr>
          <w:color w:val="3F3F3F" w:themeColor="text1" w:themeTint="BF"/>
          <w:sz w:val="28"/>
          <w:szCs w:val="28"/>
          <w:lang w:eastAsia="en-US"/>
        </w:rPr>
      </w:pPr>
    </w:p>
    <w:p>
      <w:pPr>
        <w:ind w:right="-2" w:firstLine="567"/>
        <w:jc w:val="both"/>
        <w:rPr>
          <w:color w:val="3F3F3F" w:themeColor="text1" w:themeTint="BF"/>
          <w:sz w:val="28"/>
          <w:szCs w:val="28"/>
          <w:lang w:eastAsia="en-US"/>
        </w:rPr>
      </w:pPr>
      <w:r>
        <w:rPr>
          <w:b/>
          <w:color w:val="3F3F3F" w:themeColor="text1" w:themeTint="BF"/>
          <w:sz w:val="28"/>
          <w:szCs w:val="28"/>
        </w:rPr>
        <w:t xml:space="preserve">КБК 806 1 17 01050 10 0000 180 - </w:t>
      </w:r>
      <w:r>
        <w:rPr>
          <w:color w:val="3F3F3F" w:themeColor="text1" w:themeTint="BF"/>
          <w:sz w:val="28"/>
          <w:szCs w:val="28"/>
        </w:rPr>
        <w:t>н</w:t>
      </w:r>
      <w:r>
        <w:rPr>
          <w:color w:val="3F3F3F" w:themeColor="text1" w:themeTint="BF"/>
          <w:sz w:val="28"/>
          <w:szCs w:val="28"/>
          <w:lang w:eastAsia="en-US"/>
        </w:rPr>
        <w:t>евыясненные поступления, зачисляемые в бюджеты сельских поселений;</w:t>
      </w:r>
    </w:p>
    <w:p>
      <w:pPr>
        <w:ind w:right="-2" w:firstLine="567"/>
        <w:jc w:val="both"/>
        <w:rPr>
          <w:color w:val="3F3F3F" w:themeColor="text1" w:themeTint="BF"/>
          <w:sz w:val="28"/>
          <w:szCs w:val="28"/>
          <w:lang w:eastAsia="en-US"/>
        </w:rPr>
      </w:pPr>
      <w:r>
        <w:rPr>
          <w:b/>
          <w:color w:val="3F3F3F" w:themeColor="text1" w:themeTint="BF"/>
          <w:sz w:val="28"/>
          <w:szCs w:val="28"/>
        </w:rPr>
        <w:t>КБК 806 1 17 05050 10 0000 180 -</w:t>
      </w:r>
      <w:r>
        <w:rPr>
          <w:color w:val="3F3F3F" w:themeColor="text1" w:themeTint="BF"/>
          <w:sz w:val="28"/>
          <w:szCs w:val="28"/>
          <w:lang w:eastAsia="en-US"/>
        </w:rPr>
        <w:t xml:space="preserve"> прочие неналоговые доходы бюджетов сельских поселений;</w:t>
      </w:r>
    </w:p>
    <w:p>
      <w:pPr>
        <w:ind w:right="-2" w:firstLine="567"/>
        <w:jc w:val="both"/>
        <w:rPr>
          <w:rStyle w:val="36"/>
          <w:color w:val="3F3F3F" w:themeColor="text1" w:themeTint="BF"/>
          <w:sz w:val="28"/>
          <w:szCs w:val="28"/>
        </w:rPr>
      </w:pPr>
      <w:r>
        <w:rPr>
          <w:b/>
          <w:color w:val="3F3F3F" w:themeColor="text1" w:themeTint="BF"/>
          <w:sz w:val="28"/>
          <w:szCs w:val="28"/>
        </w:rPr>
        <w:t xml:space="preserve">КБК 806 2 07 05030 10 0000 150 - </w:t>
      </w:r>
      <w:r>
        <w:rPr>
          <w:color w:val="3F3F3F" w:themeColor="text1" w:themeTint="BF"/>
          <w:sz w:val="28"/>
          <w:szCs w:val="28"/>
        </w:rPr>
        <w:t>п</w:t>
      </w:r>
      <w:r>
        <w:rPr>
          <w:rStyle w:val="36"/>
          <w:color w:val="3F3F3F" w:themeColor="text1" w:themeTint="BF"/>
          <w:sz w:val="28"/>
          <w:szCs w:val="28"/>
        </w:rPr>
        <w:t>рочие безвозмездные поступления в бюджеты сельских поселений;</w:t>
      </w:r>
    </w:p>
    <w:p>
      <w:pPr>
        <w:ind w:right="-2" w:firstLine="567"/>
        <w:jc w:val="both"/>
        <w:rPr>
          <w:color w:val="3F3F3F" w:themeColor="text1" w:themeTint="BF"/>
          <w:sz w:val="28"/>
          <w:szCs w:val="28"/>
          <w:lang w:eastAsia="en-US"/>
        </w:rPr>
      </w:pPr>
      <w:r>
        <w:rPr>
          <w:b/>
          <w:color w:val="3F3F3F" w:themeColor="text1" w:themeTint="BF"/>
          <w:sz w:val="28"/>
          <w:szCs w:val="28"/>
        </w:rPr>
        <w:t xml:space="preserve">КБК 806 2 08 05000 10 0000 150 - </w:t>
      </w:r>
      <w:r>
        <w:rPr>
          <w:color w:val="3F3F3F" w:themeColor="text1" w:themeTint="BF"/>
          <w:sz w:val="28"/>
          <w:szCs w:val="28"/>
        </w:rPr>
        <w:t>п</w:t>
      </w:r>
      <w:r>
        <w:rPr>
          <w:color w:val="3F3F3F" w:themeColor="text1" w:themeTint="BF"/>
          <w:sz w:val="28"/>
          <w:szCs w:val="28"/>
          <w:lang w:eastAsia="en-US"/>
        </w:rPr>
        <w:t>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суммы;</w:t>
      </w:r>
    </w:p>
    <w:p>
      <w:pPr>
        <w:ind w:right="-2" w:firstLine="567"/>
        <w:jc w:val="both"/>
        <w:rPr>
          <w:color w:val="3F3F3F" w:themeColor="text1" w:themeTint="BF"/>
          <w:sz w:val="28"/>
          <w:szCs w:val="28"/>
        </w:rPr>
      </w:pPr>
      <w:r>
        <w:rPr>
          <w:b/>
          <w:color w:val="3F3F3F" w:themeColor="text1" w:themeTint="BF"/>
          <w:sz w:val="28"/>
          <w:szCs w:val="28"/>
        </w:rPr>
        <w:t>КБК 8062 18 60010 10 0000 150 -</w:t>
      </w:r>
      <w:r>
        <w:rPr>
          <w:color w:val="3F3F3F" w:themeColor="text1" w:themeTint="BF"/>
          <w:sz w:val="28"/>
          <w:szCs w:val="28"/>
        </w:rPr>
        <w:t xml:space="preserve"> 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районов;</w:t>
      </w:r>
    </w:p>
    <w:p>
      <w:pPr>
        <w:ind w:right="-2" w:firstLine="567"/>
        <w:jc w:val="both"/>
        <w:rPr>
          <w:color w:val="3F3F3F" w:themeColor="text1" w:themeTint="BF"/>
          <w:sz w:val="28"/>
          <w:szCs w:val="28"/>
        </w:rPr>
      </w:pPr>
      <w:r>
        <w:rPr>
          <w:b/>
          <w:color w:val="3F3F3F" w:themeColor="text1" w:themeTint="BF"/>
          <w:sz w:val="28"/>
          <w:szCs w:val="28"/>
        </w:rPr>
        <w:t xml:space="preserve">КБК 806 2 19 60010 10 0000 150 - </w:t>
      </w:r>
      <w:r>
        <w:rPr>
          <w:color w:val="3F3F3F" w:themeColor="text1" w:themeTint="BF"/>
          <w:sz w:val="28"/>
          <w:szCs w:val="28"/>
        </w:rPr>
        <w:t>возврат остатков субсидий, субвенций и иных межбюджетных трансфертов, имеющих целевое назначение, прошлых лет из бюджетов сельских поселений.</w:t>
      </w:r>
    </w:p>
    <w:p>
      <w:pPr>
        <w:ind w:right="-2" w:firstLine="567"/>
        <w:jc w:val="both"/>
        <w:rPr>
          <w:color w:val="3F3F3F" w:themeColor="text1" w:themeTint="BF"/>
          <w:sz w:val="28"/>
          <w:szCs w:val="28"/>
          <w:lang w:eastAsia="en-US"/>
        </w:rPr>
      </w:pPr>
      <w:r>
        <w:rPr>
          <w:color w:val="3F3F3F" w:themeColor="text1" w:themeTint="BF"/>
          <w:sz w:val="28"/>
          <w:szCs w:val="28"/>
        </w:rPr>
        <w:t xml:space="preserve">На текущий финансовый год планируются на уровне фактических поступлений на последнюю отчетную дату текущего финансового года, приходящуюся на период планирования, по данным отчетов об исполнении бюджета. </w:t>
      </w:r>
    </w:p>
    <w:p>
      <w:pPr>
        <w:pStyle w:val="25"/>
        <w:shd w:val="clear" w:color="auto" w:fill="auto"/>
        <w:spacing w:after="0" w:line="317" w:lineRule="exact"/>
        <w:ind w:firstLine="740"/>
        <w:jc w:val="both"/>
        <w:rPr>
          <w:color w:val="3F3F3F" w:themeColor="text1" w:themeTint="BF"/>
        </w:rPr>
      </w:pPr>
    </w:p>
    <w:p>
      <w:pPr>
        <w:ind w:firstLine="708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6. В текущем финансовом году в процессе исполнения бюджета сельского поселения возможна корректировка объема прогноза поступлений по каждому доходному источнику на сумму превышения (уменьшения) фактического объема их поступления в текущем финансовом году.</w:t>
      </w:r>
    </w:p>
    <w:p>
      <w:pPr>
        <w:ind w:firstLine="708"/>
        <w:jc w:val="center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_______________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40" w:lineRule="auto"/>
      </w:pPr>
      <w:r>
        <w:separator/>
      </w:r>
    </w:p>
  </w:footnote>
  <w:footnote w:type="continuationSeparator" w:id="3">
    <w:p>
      <w:pPr>
        <w:spacing w:before="0" w:after="0" w:line="240" w:lineRule="auto"/>
      </w:pPr>
      <w:r>
        <w:continuationSeparator/>
      </w:r>
    </w:p>
  </w:footnote>
  <w:footnote w:id="0">
    <w:p>
      <w:pPr>
        <w:pStyle w:val="11"/>
        <w:jc w:val="both"/>
        <w:rPr>
          <w:b/>
          <w:color w:val="3F3F3F" w:themeColor="text1" w:themeTint="BF"/>
        </w:rPr>
      </w:pPr>
      <w:r>
        <w:rPr>
          <w:rStyle w:val="6"/>
          <w:b/>
          <w:color w:val="3F3F3F" w:themeColor="text1" w:themeTint="BF"/>
        </w:rPr>
        <w:footnoteRef/>
      </w:r>
      <w:r>
        <w:rPr>
          <w:rStyle w:val="30"/>
          <w:b w:val="0"/>
          <w:color w:val="3F3F3F" w:themeColor="text1" w:themeTint="BF"/>
        </w:rPr>
        <w:t>'Корректировка производится на основании материалов контрольных мероприятий, проведенных в течение двух лет предшествующих текущему финансовому году и в текущем финансовом году, путем исключения из сумм, поступивших по результатам контрольных мероприятий взысканий, доходов, администрирование ко</w:t>
      </w:r>
      <w:r>
        <w:rPr>
          <w:rStyle w:val="30"/>
          <w:b w:val="0"/>
          <w:color w:val="3F3F3F" w:themeColor="text1" w:themeTint="BF"/>
        </w:rPr>
        <w:softHyphen/>
      </w:r>
      <w:r>
        <w:rPr>
          <w:rStyle w:val="30"/>
          <w:b w:val="0"/>
          <w:color w:val="3F3F3F" w:themeColor="text1" w:themeTint="BF"/>
        </w:rPr>
        <w:t>торых после внесения соответствующих изменений в законодательство, более не осуществляется финансовым управлением.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20"/>
  <w:displayHorizontalDrawingGridEvery w:val="2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23AE0"/>
    <w:rsid w:val="0000114A"/>
    <w:rsid w:val="00005EC4"/>
    <w:rsid w:val="00033170"/>
    <w:rsid w:val="00041CED"/>
    <w:rsid w:val="00046062"/>
    <w:rsid w:val="00056236"/>
    <w:rsid w:val="000B5312"/>
    <w:rsid w:val="000F1439"/>
    <w:rsid w:val="00120279"/>
    <w:rsid w:val="00136198"/>
    <w:rsid w:val="001711C7"/>
    <w:rsid w:val="0019015D"/>
    <w:rsid w:val="001A6CAE"/>
    <w:rsid w:val="001F2EC9"/>
    <w:rsid w:val="00207CF5"/>
    <w:rsid w:val="00221817"/>
    <w:rsid w:val="00227F23"/>
    <w:rsid w:val="0023763E"/>
    <w:rsid w:val="00262E7C"/>
    <w:rsid w:val="002A256E"/>
    <w:rsid w:val="002E7F13"/>
    <w:rsid w:val="00301624"/>
    <w:rsid w:val="00304482"/>
    <w:rsid w:val="0033294A"/>
    <w:rsid w:val="00332CA2"/>
    <w:rsid w:val="003452F8"/>
    <w:rsid w:val="0036723B"/>
    <w:rsid w:val="00376F0E"/>
    <w:rsid w:val="00394E60"/>
    <w:rsid w:val="003A4065"/>
    <w:rsid w:val="003A56E6"/>
    <w:rsid w:val="003F6656"/>
    <w:rsid w:val="00430D27"/>
    <w:rsid w:val="004547B2"/>
    <w:rsid w:val="004B6702"/>
    <w:rsid w:val="004C1A83"/>
    <w:rsid w:val="004E7E93"/>
    <w:rsid w:val="005218BB"/>
    <w:rsid w:val="00537468"/>
    <w:rsid w:val="00562E36"/>
    <w:rsid w:val="00563209"/>
    <w:rsid w:val="005E0C04"/>
    <w:rsid w:val="005F2CA0"/>
    <w:rsid w:val="00601C5C"/>
    <w:rsid w:val="00620976"/>
    <w:rsid w:val="00624459"/>
    <w:rsid w:val="00652BB3"/>
    <w:rsid w:val="00653008"/>
    <w:rsid w:val="00653C10"/>
    <w:rsid w:val="00657F42"/>
    <w:rsid w:val="006626AA"/>
    <w:rsid w:val="0066389D"/>
    <w:rsid w:val="00682F90"/>
    <w:rsid w:val="00685AA1"/>
    <w:rsid w:val="00686FCC"/>
    <w:rsid w:val="00695B2A"/>
    <w:rsid w:val="006C055C"/>
    <w:rsid w:val="006D71D8"/>
    <w:rsid w:val="006D7F13"/>
    <w:rsid w:val="006E1ABF"/>
    <w:rsid w:val="006E6587"/>
    <w:rsid w:val="006E70BB"/>
    <w:rsid w:val="007109A0"/>
    <w:rsid w:val="00714D98"/>
    <w:rsid w:val="00730E92"/>
    <w:rsid w:val="00795C3E"/>
    <w:rsid w:val="007A0238"/>
    <w:rsid w:val="007A45ED"/>
    <w:rsid w:val="007B3D07"/>
    <w:rsid w:val="008077A6"/>
    <w:rsid w:val="008256B5"/>
    <w:rsid w:val="00842299"/>
    <w:rsid w:val="008622AA"/>
    <w:rsid w:val="00863B78"/>
    <w:rsid w:val="0088267F"/>
    <w:rsid w:val="00891AD0"/>
    <w:rsid w:val="008A788A"/>
    <w:rsid w:val="008B5C2C"/>
    <w:rsid w:val="008D24DA"/>
    <w:rsid w:val="008E73F1"/>
    <w:rsid w:val="008F55A1"/>
    <w:rsid w:val="008F6B78"/>
    <w:rsid w:val="00923AE0"/>
    <w:rsid w:val="00930287"/>
    <w:rsid w:val="00942A52"/>
    <w:rsid w:val="00967870"/>
    <w:rsid w:val="00983B12"/>
    <w:rsid w:val="009B7C63"/>
    <w:rsid w:val="009C01CD"/>
    <w:rsid w:val="00A163BB"/>
    <w:rsid w:val="00A178D5"/>
    <w:rsid w:val="00A20B59"/>
    <w:rsid w:val="00A43BCE"/>
    <w:rsid w:val="00A53CD5"/>
    <w:rsid w:val="00A82CD8"/>
    <w:rsid w:val="00AA22BB"/>
    <w:rsid w:val="00AE05CC"/>
    <w:rsid w:val="00AF66C3"/>
    <w:rsid w:val="00AF6A8D"/>
    <w:rsid w:val="00B01A8C"/>
    <w:rsid w:val="00B3606A"/>
    <w:rsid w:val="00B37225"/>
    <w:rsid w:val="00B47106"/>
    <w:rsid w:val="00B563C8"/>
    <w:rsid w:val="00BB74FC"/>
    <w:rsid w:val="00BF0138"/>
    <w:rsid w:val="00C47BAA"/>
    <w:rsid w:val="00C54B65"/>
    <w:rsid w:val="00C60693"/>
    <w:rsid w:val="00C6430C"/>
    <w:rsid w:val="00C743F4"/>
    <w:rsid w:val="00C80744"/>
    <w:rsid w:val="00C87B5C"/>
    <w:rsid w:val="00CC12AC"/>
    <w:rsid w:val="00D02F31"/>
    <w:rsid w:val="00D03021"/>
    <w:rsid w:val="00D4079E"/>
    <w:rsid w:val="00D45E61"/>
    <w:rsid w:val="00D6276E"/>
    <w:rsid w:val="00D95C91"/>
    <w:rsid w:val="00DD0490"/>
    <w:rsid w:val="00DD062D"/>
    <w:rsid w:val="00DE5637"/>
    <w:rsid w:val="00DF3280"/>
    <w:rsid w:val="00DF51B5"/>
    <w:rsid w:val="00E42399"/>
    <w:rsid w:val="00EB4E7A"/>
    <w:rsid w:val="00F214ED"/>
    <w:rsid w:val="00F33F5D"/>
    <w:rsid w:val="00F43234"/>
    <w:rsid w:val="00F57C3C"/>
    <w:rsid w:val="00F76713"/>
    <w:rsid w:val="00F87B51"/>
    <w:rsid w:val="00F96BBD"/>
    <w:rsid w:val="00FA7CC8"/>
    <w:rsid w:val="00FC6579"/>
    <w:rsid w:val="00FD2DF2"/>
    <w:rsid w:val="00FE61B4"/>
    <w:rsid w:val="00FF2032"/>
    <w:rsid w:val="578B74A2"/>
    <w:rsid w:val="795276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37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66091" w:themeColor="accent1" w:themeShade="BF"/>
      <w:sz w:val="32"/>
      <w:szCs w:val="32"/>
    </w:rPr>
  </w:style>
  <w:style w:type="paragraph" w:styleId="3">
    <w:name w:val="heading 9"/>
    <w:basedOn w:val="1"/>
    <w:next w:val="1"/>
    <w:link w:val="35"/>
    <w:qFormat/>
    <w:uiPriority w:val="0"/>
    <w:pPr>
      <w:keepNext/>
      <w:ind w:right="-58"/>
      <w:jc w:val="center"/>
      <w:outlineLvl w:val="8"/>
    </w:pPr>
    <w:rPr>
      <w:b/>
      <w:bCs/>
      <w:szCs w:val="2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otnote reference"/>
    <w:basedOn w:val="4"/>
    <w:semiHidden/>
    <w:unhideWhenUsed/>
    <w:uiPriority w:val="99"/>
    <w:rPr>
      <w:vertAlign w:val="superscript"/>
    </w:rPr>
  </w:style>
  <w:style w:type="character" w:styleId="7">
    <w:name w:val="annotation reference"/>
    <w:basedOn w:val="4"/>
    <w:semiHidden/>
    <w:unhideWhenUsed/>
    <w:qFormat/>
    <w:uiPriority w:val="99"/>
    <w:rPr>
      <w:sz w:val="16"/>
      <w:szCs w:val="16"/>
    </w:rPr>
  </w:style>
  <w:style w:type="character" w:styleId="8">
    <w:name w:val="Hyperlink"/>
    <w:basedOn w:val="4"/>
    <w:semiHidden/>
    <w:unhideWhenUsed/>
    <w:qFormat/>
    <w:uiPriority w:val="99"/>
    <w:rPr>
      <w:color w:val="0000FF"/>
      <w:u w:val="single"/>
    </w:rPr>
  </w:style>
  <w:style w:type="paragraph" w:styleId="9">
    <w:name w:val="Balloon Text"/>
    <w:basedOn w:val="1"/>
    <w:link w:val="2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0">
    <w:name w:val="annotation text"/>
    <w:basedOn w:val="1"/>
    <w:link w:val="34"/>
    <w:semiHidden/>
    <w:unhideWhenUsed/>
    <w:qFormat/>
    <w:uiPriority w:val="99"/>
    <w:rPr>
      <w:sz w:val="20"/>
      <w:szCs w:val="20"/>
    </w:rPr>
  </w:style>
  <w:style w:type="paragraph" w:styleId="11">
    <w:name w:val="footnote text"/>
    <w:basedOn w:val="1"/>
    <w:link w:val="29"/>
    <w:semiHidden/>
    <w:unhideWhenUsed/>
    <w:qFormat/>
    <w:uiPriority w:val="99"/>
    <w:rPr>
      <w:sz w:val="20"/>
      <w:szCs w:val="20"/>
    </w:rPr>
  </w:style>
  <w:style w:type="paragraph" w:styleId="12">
    <w:name w:val="header"/>
    <w:basedOn w:val="1"/>
    <w:link w:val="22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13">
    <w:name w:val="Body Text"/>
    <w:basedOn w:val="1"/>
    <w:link w:val="26"/>
    <w:semiHidden/>
    <w:qFormat/>
    <w:uiPriority w:val="0"/>
    <w:rPr>
      <w:sz w:val="28"/>
    </w:rPr>
  </w:style>
  <w:style w:type="paragraph" w:styleId="14">
    <w:name w:val="footer"/>
    <w:basedOn w:val="1"/>
    <w:link w:val="23"/>
    <w:semiHidden/>
    <w:unhideWhenUsed/>
    <w:uiPriority w:val="99"/>
    <w:pPr>
      <w:tabs>
        <w:tab w:val="center" w:pos="4677"/>
        <w:tab w:val="right" w:pos="9355"/>
      </w:tabs>
    </w:pPr>
  </w:style>
  <w:style w:type="paragraph" w:styleId="15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16">
    <w:name w:val="Table Grid"/>
    <w:basedOn w:val="5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styleId="18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1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20">
    <w:name w:val="Текст выноски Знак"/>
    <w:basedOn w:val="4"/>
    <w:link w:val="9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21">
    <w:name w:val="apple-converted-space"/>
    <w:basedOn w:val="4"/>
    <w:uiPriority w:val="0"/>
  </w:style>
  <w:style w:type="character" w:customStyle="1" w:styleId="22">
    <w:name w:val="Верхний колонтитул Знак"/>
    <w:basedOn w:val="4"/>
    <w:link w:val="12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3">
    <w:name w:val="Нижний колонтитул Знак"/>
    <w:basedOn w:val="4"/>
    <w:link w:val="14"/>
    <w:semiHidden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4">
    <w:name w:val="Основной текст (2)_"/>
    <w:basedOn w:val="4"/>
    <w:link w:val="25"/>
    <w:qFormat/>
    <w:uiPriority w:val="0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1"/>
    <w:link w:val="24"/>
    <w:qFormat/>
    <w:uiPriority w:val="0"/>
    <w:pPr>
      <w:widowControl w:val="0"/>
      <w:shd w:val="clear" w:color="auto" w:fill="FFFFFF"/>
      <w:spacing w:after="660" w:line="240" w:lineRule="exact"/>
      <w:ind w:hanging="760"/>
    </w:pPr>
    <w:rPr>
      <w:sz w:val="28"/>
      <w:szCs w:val="28"/>
      <w:lang w:eastAsia="en-US"/>
    </w:rPr>
  </w:style>
  <w:style w:type="character" w:customStyle="1" w:styleId="26">
    <w:name w:val="Основной текст Знак"/>
    <w:basedOn w:val="4"/>
    <w:link w:val="13"/>
    <w:semiHidden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customStyle="1" w:styleId="27">
    <w:name w:val="Основной текст (2) Exact"/>
    <w:basedOn w:val="4"/>
    <w:qFormat/>
    <w:uiPriority w:val="0"/>
    <w:rPr>
      <w:rFonts w:ascii="Times New Roman" w:hAnsi="Times New Roman" w:eastAsia="Times New Roman" w:cs="Times New Roman"/>
      <w:sz w:val="28"/>
      <w:szCs w:val="28"/>
      <w:u w:val="none"/>
    </w:rPr>
  </w:style>
  <w:style w:type="character" w:customStyle="1" w:styleId="28">
    <w:name w:val="Основной текст (2) + 9 pt"/>
    <w:basedOn w:val="24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9">
    <w:name w:val="Текст сноски Знак"/>
    <w:basedOn w:val="4"/>
    <w:link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30">
    <w:name w:val="Основной текст (6)"/>
    <w:basedOn w:val="4"/>
    <w:uiPriority w:val="0"/>
    <w:rPr>
      <w:rFonts w:ascii="Times New Roman" w:hAnsi="Times New Roman" w:eastAsia="Times New Roman" w:cs="Times New Roman"/>
      <w:b/>
      <w:bCs/>
      <w:sz w:val="18"/>
      <w:szCs w:val="18"/>
      <w:u w:val="none"/>
    </w:rPr>
  </w:style>
  <w:style w:type="paragraph" w:customStyle="1" w:styleId="31">
    <w:name w:val="Абзац списка1"/>
    <w:basedOn w:val="1"/>
    <w:uiPriority w:val="0"/>
    <w:pPr>
      <w:spacing w:after="200" w:line="276" w:lineRule="auto"/>
      <w:ind w:left="720"/>
    </w:pPr>
    <w:rPr>
      <w:rFonts w:ascii="Calibri" w:hAnsi="Calibri" w:eastAsia="Calibri" w:cs="Calibri"/>
      <w:sz w:val="22"/>
      <w:szCs w:val="22"/>
    </w:rPr>
  </w:style>
  <w:style w:type="character" w:customStyle="1" w:styleId="32">
    <w:name w:val="Заголовок №1 + Интервал 1 pt"/>
    <w:basedOn w:val="4"/>
    <w:qFormat/>
    <w:uiPriority w:val="0"/>
    <w:rPr>
      <w:rFonts w:ascii="Times New Roman" w:hAnsi="Times New Roman" w:eastAsia="Times New Roman" w:cs="Times New Roman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3">
    <w:name w:val="Абзац списка2"/>
    <w:basedOn w:val="1"/>
    <w:uiPriority w:val="0"/>
    <w:pPr>
      <w:spacing w:after="200" w:line="276" w:lineRule="auto"/>
      <w:ind w:left="720"/>
    </w:pPr>
    <w:rPr>
      <w:rFonts w:ascii="Calibri" w:hAnsi="Calibri" w:eastAsia="Calibri" w:cs="Calibri"/>
      <w:sz w:val="22"/>
      <w:szCs w:val="22"/>
    </w:rPr>
  </w:style>
  <w:style w:type="character" w:customStyle="1" w:styleId="34">
    <w:name w:val="Текст примечания Знак"/>
    <w:basedOn w:val="4"/>
    <w:link w:val="10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35">
    <w:name w:val="Заголовок 9 Знак"/>
    <w:basedOn w:val="4"/>
    <w:link w:val="3"/>
    <w:qFormat/>
    <w:uiPriority w:val="0"/>
    <w:rPr>
      <w:rFonts w:ascii="Times New Roman" w:hAnsi="Times New Roman" w:eastAsia="Times New Roman" w:cs="Times New Roman"/>
      <w:b/>
      <w:bCs/>
      <w:sz w:val="24"/>
      <w:szCs w:val="20"/>
      <w:lang w:eastAsia="ru-RU"/>
    </w:rPr>
  </w:style>
  <w:style w:type="character" w:customStyle="1" w:styleId="36">
    <w:name w:val="blk1"/>
    <w:uiPriority w:val="0"/>
  </w:style>
  <w:style w:type="character" w:customStyle="1" w:styleId="37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color w:val="366091" w:themeColor="accent1" w:themeShade="BF"/>
      <w:sz w:val="32"/>
      <w:szCs w:val="32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2DDA65-E3EA-4783-9B24-11F7BD3BE3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9</Pages>
  <Words>2656</Words>
  <Characters>15140</Characters>
  <Lines>126</Lines>
  <Paragraphs>35</Paragraphs>
  <TotalTime>2</TotalTime>
  <ScaleCrop>false</ScaleCrop>
  <LinksUpToDate>false</LinksUpToDate>
  <CharactersWithSpaces>17761</CharactersWithSpaces>
  <Application>WPS Office_11.2.0.11130_F1E327BC-269C-435d-A152-05C5408002CA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2019-10-30T06:03:00Z</dcterms:created>
  <dc:creator>BEST</dc:creator>
  <cp:lastModifiedBy>nastr</cp:lastModifiedBy>
  <cp:lastPrinted>2019-11-11T11:27:00Z</cp:lastPrinted>
  <dcterms:modified xsi:type="dcterms:W3CDTF">2022-05-25T04:50:43Z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A1029E5F126C42D6B5F2B9F226330D79</vt:lpwstr>
  </property>
</Properties>
</file>