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D4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404040" w:themeColor="text1" w:themeTint="BF"/>
          <w:sz w:val="20"/>
          <w:szCs w:val="20"/>
        </w:rPr>
        <w:drawing>
          <wp:inline distT="0" distB="0" distL="0" distR="0">
            <wp:extent cx="421640" cy="564515"/>
            <wp:effectExtent l="0" t="0" r="16510" b="6985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64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D4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D5D4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:rsidR="00CD5D4B" w:rsidRPr="001B6FD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</w:t>
      </w:r>
      <w:r w:rsidRPr="001B6FDB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МУНИЦИПАЛЬНОГО РАЙОНА</w:t>
      </w:r>
    </w:p>
    <w:p w:rsidR="00CD5D4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Хабаровского края</w:t>
      </w:r>
    </w:p>
    <w:p w:rsidR="00CD5D4B" w:rsidRDefault="00CD5D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CD5D4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D5D4B" w:rsidRDefault="00CD5D4B">
            <w:pPr>
              <w:spacing w:after="0" w:line="240" w:lineRule="auto"/>
              <w:jc w:val="center"/>
              <w:rPr>
                <w:color w:val="404040" w:themeColor="text1" w:themeTint="BF"/>
                <w:sz w:val="28"/>
                <w:szCs w:val="28"/>
                <w:highlight w:val="red"/>
                <w:u w:val="single"/>
              </w:rPr>
            </w:pPr>
          </w:p>
          <w:p w:rsidR="00CD5D4B" w:rsidRDefault="00914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11.10.2021 № 30</w:t>
            </w:r>
          </w:p>
          <w:p w:rsidR="00CD5D4B" w:rsidRDefault="00914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  <w:p w:rsidR="00CD5D4B" w:rsidRDefault="00CD5D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:rsidR="00CD5D4B" w:rsidRDefault="00CD5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CD5D4B" w:rsidRDefault="00CD5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CD5D4B" w:rsidRDefault="00CD5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CD5D4B" w:rsidRDefault="00CD5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CD5D4B" w:rsidRDefault="00CD5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tbl>
      <w:tblPr>
        <w:tblpPr w:leftFromText="180" w:rightFromText="180" w:vertAnchor="text" w:horzAnchor="page" w:tblpX="1739" w:tblpY="131"/>
        <w:tblOverlap w:val="never"/>
        <w:tblW w:w="9785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CD5D4B">
        <w:trPr>
          <w:trHeight w:val="1010"/>
        </w:trPr>
        <w:tc>
          <w:tcPr>
            <w:tcW w:w="9785" w:type="dxa"/>
            <w:tcBorders>
              <w:top w:val="nil"/>
            </w:tcBorders>
          </w:tcPr>
          <w:p w:rsidR="00CD5D4B" w:rsidRDefault="00914D7C" w:rsidP="00220AF3">
            <w:pPr>
              <w:pStyle w:val="a5"/>
              <w:spacing w:after="0" w:line="240" w:lineRule="exact"/>
              <w:rPr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Об утверждении муниципальной программы «Комплексное развитие транспортной инфраструктуры на территории Согдинского сельского поселения Верхнебуреинского муниципального района Хабаровского края на 2022-2032 годы»</w:t>
            </w:r>
          </w:p>
        </w:tc>
      </w:tr>
    </w:tbl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Chars="250" w:firstLine="700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В целях разработки комплекса мероприятий, направленных на повышение надежности, эффективности и экологичности работы объектов транспортной инфраструктуры, расположенных на территории Согдинского сельского  поселения Верхнебуреинского муниципального района Хабаровского края, руководствуясь пунктом 5 части 1 статьи 14 Федерального закона от 06 октября 2003 г. № 131-ФЗ «Об общих принципах организации местного самоуправления в Российской Федерации», Постановлением Правительства РФ от 25 декабря 2015 г. № 1440 «Об утверждении требований к программам комплексного развития транспортной инфраструктуры поселений, городских округов» , администрация поселения </w:t>
      </w:r>
    </w:p>
    <w:p w:rsidR="00CD5D4B" w:rsidRDefault="00914D7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ПОСТАНОВЛЯЕТ:</w:t>
      </w:r>
    </w:p>
    <w:p w:rsidR="00CD5D4B" w:rsidRDefault="00914D7C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Утвердить муниципальную программу «Комплексное развитие транспортной инфраструктуры на территории Согдинского сельского поселения Верхнебуреинского муниципального района Хабаровского края на 2022-2032 годы».</w:t>
      </w:r>
    </w:p>
    <w:p w:rsidR="00CD5D4B" w:rsidRDefault="00914D7C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CD5D4B" w:rsidRDefault="00914D7C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с 1 января 2022 года и подлежит официальному опубликованию (обнародованию).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Глава сельского поселения                                                                       Е.М. Репина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УТВЕРЖДЕНА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постановлением администрации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от 11.10.2021 № 30</w:t>
      </w: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exact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Муниципальная программа</w:t>
      </w:r>
    </w:p>
    <w:p w:rsidR="00CD5D4B" w:rsidRDefault="00914D7C">
      <w:pPr>
        <w:spacing w:after="0" w:line="240" w:lineRule="exact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«Комплексное развитие систем транспортной инфраструктуры</w:t>
      </w:r>
    </w:p>
    <w:p w:rsidR="00CD5D4B" w:rsidRDefault="00914D7C">
      <w:pPr>
        <w:spacing w:after="0" w:line="240" w:lineRule="exact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 на 2022-2032 годы»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ПАСПОРТ ПРОГРАММЫ</w:t>
      </w:r>
    </w:p>
    <w:tbl>
      <w:tblPr>
        <w:tblW w:w="0" w:type="auto"/>
        <w:tblInd w:w="-612" w:type="dxa"/>
        <w:tblLayout w:type="fixed"/>
        <w:tblLook w:val="04A0" w:firstRow="1" w:lastRow="0" w:firstColumn="1" w:lastColumn="0" w:noHBand="0" w:noVBand="1"/>
      </w:tblPr>
      <w:tblGrid>
        <w:gridCol w:w="2421"/>
        <w:gridCol w:w="7639"/>
      </w:tblGrid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Наименование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Муниципальная программа «Комплексное развитие систем транспортной инфраструктуры Согдинского сельского поселения Верхнебуреинского муниципального района Хабаровского края на 2022-2032 годы»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(далее – Программа)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Разработчик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Исполнитель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- Федеральный закон от 29 декабря 2014 г. № 456-ФЗ «О внесении изменений в Градостроительный кодекс Российской Федерации и отдельные законодательные акты Российской Федерации»; 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- Федеральный закон от 06 октября 2003 г. № 131-ФЗ «Об общих принципах организации местного самоуправления Российской Федерации»; 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- Постановление Правительства РФ от 25 декабря 2015 г. № 1140 «Об утверждении требований к программам комплексного развития транспортной инфраструктуры поселений, городских округов»;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- Устав Согдинского сельского поселения; 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- Генеральный план Согдинского сельского поселения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Цель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Развитие транспортной инфраструктуры, сбалансированное развитие и скоординированное с иными сферами жизнедеятельности поселения  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Задачи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Основными задачами Программы являются: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- формирование условий для социально- экономического развития,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- 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- снижение негативного воздействия транспортной инфраструктуры на окружающую среду поселения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Целевые показатели</w:t>
            </w:r>
          </w:p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Технико-экономические, финансовые и социально-экономические показатели развития транспортной инфраструктуры, включая показатели безопасности, качество </w:t>
            </w: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эффективности и эффективности транспортного обслуживания населения и субъектов экономической деятельности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Срок и этапы реализации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Программа рассчитана на 2022-2032 годы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Объемы требуемых капитальных вложений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Финансовое обеспечение мероприятий Программы осуществляется за счет средств бюджета СП в рамках муниципальных программ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Финансирование из бюджета СП ежегодно уточняется при формировании бюджета на очередной финансовый год. Показатели финансирования подлежат уточнению с учетом разработанной проектно-сметной документации и фактического выделения средств из бюджетов всех уровней.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2022 год – 1 338,00 тыс. руб.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2023 год – 1 402,00 тыс. руб.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2024 год – 1 458,00 тыс. руб.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2025 год – 1 458,00 тыс. руб.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2026 год – 1 458,00 тыс. руб.</w:t>
            </w: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>на 2027-2032 годы – 8 748,00 тыс. руб.</w:t>
            </w:r>
          </w:p>
        </w:tc>
      </w:tr>
      <w:tr w:rsidR="00CD5D4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В результате реализации Программы к 2032 году предполагается:</w:t>
            </w:r>
          </w:p>
          <w:p w:rsidR="00CD5D4B" w:rsidRDefault="00914D7C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Развитие транспортной инфраструктуры;</w:t>
            </w:r>
          </w:p>
          <w:p w:rsidR="00CD5D4B" w:rsidRDefault="00914D7C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Развитие транспорта общего пользования;</w:t>
            </w:r>
          </w:p>
          <w:p w:rsidR="00CD5D4B" w:rsidRDefault="00914D7C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Развитие сети дорог поселения;</w:t>
            </w:r>
          </w:p>
          <w:p w:rsidR="00CD5D4B" w:rsidRDefault="00914D7C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Снижение негативного воздействия транспорта на окружающую среду и здоровья населения;</w:t>
            </w:r>
          </w:p>
          <w:p w:rsidR="00CD5D4B" w:rsidRDefault="00914D7C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Повышение безопасности дорожного движения</w:t>
            </w:r>
          </w:p>
        </w:tc>
      </w:tr>
    </w:tbl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B12BC" w:rsidRDefault="007B12B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B12BC" w:rsidRDefault="007B12B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Приложение № 1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к постановлению администрации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CD5D4B" w:rsidRDefault="00914D7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от 11.10.2021 № 25</w:t>
      </w:r>
    </w:p>
    <w:p w:rsidR="00CD5D4B" w:rsidRDefault="00CD5D4B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0"/>
          <w:numId w:val="2"/>
        </w:numPr>
        <w:spacing w:after="0" w:line="240" w:lineRule="exact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Содержание проблемы и обоснование необходимости</w:t>
      </w: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ее решения программными методами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 xml:space="preserve">Развитие транспортной инфраструктуры и дорожного хозяйства на территории Согдинского сельского поселения Верхнебуреинского муниципального района Хабаровского края (далее – поселение) является необходимым условием улучшения качества жизни населения в поселении. Направленное на ликвидацию потенциально аварийных участков на дорогах общего пользования местного значения, повышение эффективности и безопасности функционирования дорог общего пользования местного значения, безопасность дорожного движения, повышение уровня благоустройства территории муниципального образования Согдинского сельского поселения, санитарного состояния, создание комфортных условий проживания жителей села Согда.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Содержание проблемы и обоснование необходимости ее решения Программными методами. Дороги – один из важнейших элементов транспортно-коммуникационной системы муниципального образования Согдинского сельского поселения, оказывающих огромное влияние на развитие экономики и социальной сферы.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Между тем, состояние дорожной сети Согдинского сельского поселения не в полной мере соответствует экономическим и социальным потребностям общества. Проблема особенно обострилась в последнее время, в связи с недостаточным финансированием на сохранение существующей сети дорог, а тем более для ее модернизации (капитального ремонта).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Программа направлена на повышение качества предоставляемых дорожных услуг; снижение сверхнормативного износа основных фондов объектов дорожной инфраструктуры; капитальный ремонт дорог общего пользования; модернизацию этих объектов за счет внедрения энергосберегающих технологий; разработку и внедрение мер по стимулированию эффективного и рационального хозяйствования дорожного хозяйства; максимальное использование всех доступных ресурсов, включая частные инвестиционные средства, обеспечение надежного и устойчивого обслуживания потребителей.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Основными целями Программы являются повышение качества и надежности предоставления дорожных услуг населению, улучшение экологической ситуации, создание устойчивых и эффективных механизмов привлечения частных инвестиций для модернизации объектов дорожной инфраструктуры.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lastRenderedPageBreak/>
        <w:t>Улично-дорожная сеть является одним из основных образующих элементов транспортной, инженерной и социальной инфраструктуры сельского поселения. Общая протяженность автомобильных дорог общего пользования местного значения составляет 17,9 км, грунтовых - 17,9 км.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В настоящее время деятельность дорожного хозяйства сельского поселения характеризуется неравномерным развитием системы дорожного хозяйства. Остается низким качество предоставляемых дорожных услуг, неэффективно используются природные ресурсы, загрязняется окружающая среда.  Дорожное покрытие находится в неудовлетворительном состоянии и нуждается в ремонте. Причинами этого являются высокий уровень износа дорог общего пользования.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 xml:space="preserve">Вдоль дорог отсутствуют кюветы, в результате чего ливневые воды разрушают дорожное покрытие. Хаотичное движение ливневых вод приводит к затоплению пешеходных дорожек, тротуаров. Следствием высокого износа и технологической отсталости основных фондов дорожного хозяйства является низкое качество услуг, не соответствующее запросам потребителей. Уровень износа дорог общего пользования составляет до </w:t>
      </w: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  <w:highlight w:val="red"/>
        </w:rPr>
        <w:t>90</w:t>
      </w: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 xml:space="preserve"> процентов. Плановые ремонты дорог общего пользования практически полностью уступили место ямочному ремонту.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Отсутствие достаточного финансирования ремонтных работ, отсутствие дорожно-строительных организаций на территории поселения, отсутствие ливневой канализации приводит к разрушениям дорожных конструкций.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 xml:space="preserve">Для повышения качества дорожных услуг, снижения износа основных фондов, решения экологических вопросов необходимо обеспечить масштабную реализацию проектов капитального ремонта дорог общего пользования.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Программный подход представляется единственно возможным, поскольку позволяет сконцентрировать финансовые ресурсы на конкретных мероприятиях муниципальной программы.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Основными рисками в реализации муниципальной программы являются: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  <w:highlight w:val="red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  <w:highlight w:val="red"/>
        </w:rPr>
        <w:t>- занижение лимита средств из-за дефицита бюджета поселения, предусмотренного для реализации мероприятий по содержанию и ремонту автомобильных дорог общего пользования на территории Согдинского сельского поселения;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- резкое увеличение стоимости содержания или ремонта 1 квадратного метра дороги;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Все эти риски повлекут снижение показателей реализации муниципальной программы, однако могут быть частично или полностью компенсированы за счет:</w:t>
      </w:r>
    </w:p>
    <w:p w:rsidR="00CD5D4B" w:rsidRDefault="00914D7C">
      <w:pPr>
        <w:numPr>
          <w:ilvl w:val="0"/>
          <w:numId w:val="4"/>
        </w:num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привлечения иных внебюджетных источников софинансирования;</w:t>
      </w:r>
    </w:p>
    <w:p w:rsidR="00CD5D4B" w:rsidRDefault="00914D7C">
      <w:pPr>
        <w:numPr>
          <w:ilvl w:val="0"/>
          <w:numId w:val="4"/>
        </w:num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 xml:space="preserve">сокращения числа дорог, включенных в муниципальную программу ремонта автомобильных дорог общего пользования местного значения на территории Согдинского сельского поселения того или иного года реализации </w:t>
      </w: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lastRenderedPageBreak/>
        <w:t>муниципальной программы, в том числе переносом этих дорог на последующие годы.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  <w:t>2.1. Анализ состава парка транспортных средств и уровня автомобилизации сельского поселения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-BoldMT"/>
          <w:bCs/>
          <w:color w:val="404040" w:themeColor="text1" w:themeTint="BF"/>
          <w:sz w:val="28"/>
        </w:rPr>
      </w:pPr>
      <w:r>
        <w:rPr>
          <w:rFonts w:ascii="Times New Roman" w:hAnsi="Times New Roman" w:cs="TimesNewRomanPSMT"/>
          <w:color w:val="404040" w:themeColor="text1" w:themeTint="BF"/>
          <w:sz w:val="28"/>
        </w:rPr>
        <w:t>Автомобильный парк сельского поселения преимущественно состоит из легковых</w:t>
      </w:r>
      <w:r>
        <w:rPr>
          <w:rFonts w:ascii="Times New Roman" w:hAnsi="Times New Roman" w:cs="TimesNewRomanPS-BoldMT"/>
          <w:bCs/>
          <w:color w:val="404040" w:themeColor="text1" w:themeTint="BF"/>
          <w:sz w:val="28"/>
        </w:rPr>
        <w:t xml:space="preserve"> </w:t>
      </w:r>
      <w:r>
        <w:rPr>
          <w:rFonts w:ascii="Times New Roman" w:hAnsi="Times New Roman" w:cs="TimesNewRomanPSMT"/>
          <w:color w:val="404040" w:themeColor="text1" w:themeTint="BF"/>
          <w:sz w:val="28"/>
        </w:rPr>
        <w:t>автомобилей, принадлежащих частным лицам. Детальная информация видов транспорта</w:t>
      </w:r>
      <w:r>
        <w:rPr>
          <w:rFonts w:ascii="Times New Roman" w:hAnsi="Times New Roman" w:cs="TimesNewRomanPS-BoldMT"/>
          <w:bCs/>
          <w:color w:val="404040" w:themeColor="text1" w:themeTint="BF"/>
          <w:sz w:val="28"/>
        </w:rPr>
        <w:t xml:space="preserve"> </w:t>
      </w:r>
      <w:r>
        <w:rPr>
          <w:rFonts w:ascii="Times New Roman" w:hAnsi="Times New Roman" w:cs="TimesNewRomanPSMT"/>
          <w:color w:val="404040" w:themeColor="text1" w:themeTint="BF"/>
          <w:sz w:val="28"/>
        </w:rPr>
        <w:t>отсутствует. За период 2020</w:t>
      </w:r>
      <w:r>
        <w:rPr>
          <w:rFonts w:ascii="Times New Roman" w:hAnsi="Times New Roman" w:cs="Times New Roman"/>
          <w:color w:val="404040" w:themeColor="text1" w:themeTint="BF"/>
          <w:sz w:val="28"/>
        </w:rPr>
        <w:t xml:space="preserve">-2021 </w:t>
      </w:r>
      <w:r>
        <w:rPr>
          <w:rFonts w:ascii="Times New Roman" w:hAnsi="Times New Roman" w:cs="TimesNewRomanPSMT"/>
          <w:color w:val="404040" w:themeColor="text1" w:themeTint="BF"/>
          <w:sz w:val="28"/>
        </w:rPr>
        <w:t>годы отмечается рост транспортных средств рост и уровня</w:t>
      </w:r>
      <w:r>
        <w:rPr>
          <w:rFonts w:ascii="Times New Roman" w:hAnsi="Times New Roman" w:cs="TimesNewRomanPS-BoldMT"/>
          <w:bCs/>
          <w:color w:val="404040" w:themeColor="text1" w:themeTint="BF"/>
          <w:sz w:val="28"/>
        </w:rPr>
        <w:t xml:space="preserve"> </w:t>
      </w:r>
      <w:r>
        <w:rPr>
          <w:rFonts w:ascii="Times New Roman" w:hAnsi="Times New Roman" w:cs="TimesNewRomanPSMT"/>
          <w:color w:val="404040" w:themeColor="text1" w:themeTint="BF"/>
          <w:sz w:val="28"/>
        </w:rPr>
        <w:t xml:space="preserve">автомобилизации населения. Хранение транспортных средств в основном осуществляется на придомовых территориях. 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</w:pP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  <w:t xml:space="preserve">2.2. Характеристика работы транспортных средств общего </w:t>
      </w: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  <w:t>пользования, включая анализ пассажиропотока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0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0"/>
        </w:rPr>
        <w:t>Передвижение по территории сельского поселения осуществляется с использованием личного транспорта, либо в пешем порядке.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</w:rPr>
        <w:t xml:space="preserve">2.4. 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  <w:t xml:space="preserve">Характеристика пешеходного и велосипедного 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  <w:t>передвижения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</w:rPr>
      </w:pPr>
      <w:r>
        <w:rPr>
          <w:rFonts w:ascii="Times New Roman" w:hAnsi="Times New Roman" w:cs="TimesNewRomanPSMT"/>
          <w:color w:val="404040" w:themeColor="text1" w:themeTint="BF"/>
          <w:sz w:val="28"/>
        </w:rPr>
        <w:t>Специализированные дорожки для велосипедного передвижения на территории поселения не предусмотрены. Движение велосипедистов осуществляется в соответствии с требованиями ПДД по дорогам общего пользования.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  <w:t xml:space="preserve">2.5. 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 xml:space="preserve">Характеристика движения грузовых 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>транспортных средств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</w:p>
    <w:p w:rsidR="00CD5D4B" w:rsidRDefault="00136C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Транспортных </w:t>
      </w:r>
      <w:r w:rsidR="00914D7C"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организаций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, </w:t>
      </w:r>
      <w:r w:rsidR="00914D7C"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осуществляющих грузовые перевозки на территории сельского поселения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,</w:t>
      </w:r>
      <w:r w:rsidR="00914D7C"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 не имеется.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  <w:t xml:space="preserve">2.6. 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>Анализ уровня безопасности дорожного движения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Ситуация, связанная с аварийностью на транспорте, неизменно сохраняет актуальность в связи с несоответствием дорожно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транспортной инфраструктуры потребностям участников дорожного движения, их низкой дисциплиной, а также недостаточной эффективностью функционирования системы обеспечения безопасности дорожного движения. В настоящее время решение проблемы обеспечения безопасности дорожного движения является одной из важнейших задач. Для эффективного решения проблем, связанных с дорожно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транспортной аварийностью, непрерывно обеспечивать системный 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lastRenderedPageBreak/>
        <w:t>подход к реализации мероприятий по повышению безопасности дорожного движения.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  <w:t xml:space="preserve">2.7. 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 xml:space="preserve">Оценка уровня негативного воздействия транспортной инфраструктуры на окружающую среду, 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>безопасность и здоровье человека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Учитывая сложившуюся планировочную структуру сельского поселения и характер дорожно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транспортной сети, отсутствие дорог с интенсивным движением в районах жилой застройки, можно сделать вывод о сравнительно благополучной экологической ситуации в части воздействия транспортной инфраструктуры на окружающую среду, безопасность и здоровье человека.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  <w:t xml:space="preserve">2.8. 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>Оценка нормативно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 xml:space="preserve">правовой базы, 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>необходимой для функционирования и развития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  <w:t xml:space="preserve"> транспортной системы поселения</w:t>
      </w:r>
    </w:p>
    <w:p w:rsidR="00CD5D4B" w:rsidRDefault="00CD5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color w:val="404040" w:themeColor="text1" w:themeTint="BF"/>
          <w:sz w:val="28"/>
          <w:szCs w:val="24"/>
        </w:rPr>
      </w:pP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Основными документами, определяю</w:t>
      </w:r>
      <w:r w:rsidR="00136C19"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щими порядок функционирования и 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развития транспортной инфраструктуры</w:t>
      </w:r>
      <w:r w:rsidR="00136C19"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,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 xml:space="preserve"> являются: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 xml:space="preserve">1. 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Градостроительный кодекс РФ от 29.12.2004 г. № 190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ФЗ (ред. от 30.12.2015 г.);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2. Федеральный закон от 08.11.2007 г. № 257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ФЗ (ред. от 15.02.2016 г.) «Об автомобильных дорогах и о дорожной деятельности в РФ и о внесении изменений в отдельные законодательные акты Российской Федерации»;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3. Федеральный закон от 10.12.1995 г. № 196</w:t>
      </w:r>
      <w:r>
        <w:rPr>
          <w:rFonts w:ascii="Times New Roman" w:hAnsi="Times New Roman" w:cs="Times New Roman"/>
          <w:color w:val="404040" w:themeColor="text1" w:themeTint="BF"/>
          <w:sz w:val="28"/>
          <w:szCs w:val="24"/>
        </w:rPr>
        <w:t>-</w:t>
      </w: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ФЗ (ред. от 28.11.2015 г.) «О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безопасности дорожного движения»;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4. Постановление Правительства РФ от 23.10.1993 г. № 1090 (ред. от 21.01.2016 г.) «О правилах дорожного движения»;</w:t>
      </w:r>
    </w:p>
    <w:p w:rsidR="00CD5D4B" w:rsidRDefault="00914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NewRomanPSMT"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NewRomanPSMT"/>
          <w:color w:val="404040" w:themeColor="text1" w:themeTint="BF"/>
          <w:sz w:val="28"/>
          <w:szCs w:val="24"/>
        </w:rPr>
        <w:t>5. Постановление Правительства РФ от 25.12.2015 г. № 1440 «Об утверждении требований к программам комплексного развития транспортной инфраструктуры поселений, городских округов».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Цели и задачи Программы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Целью Программы является: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развитие современной и эффективной автомобильно-дорожной инфраструктуры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качественное выполнение работ по ремонту автомобильных дорог местного значения;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обеспечение нормативных эксплуатационных свойств покрытий проезжей части и тротуаров;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lastRenderedPageBreak/>
        <w:t>- повышение уровня безопасности дорожного движения и создание благоприятных, комфортных условий для проживания и отдыха граждан;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повышение качества и надежности предоставления дорожных услуг, улучшение экологической безопасности и охраны здоровья людей;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ремонт автомобильных дорог местного значения сельского поселения, направлен на улучшение внешнего облика поселения.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Для достижения поставленной цели предполагается решить следующие задачи: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ремонт автомобильных дорог местного значения;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повышение эффективности управления дорожным хозяйством;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организация благоустройства и озеленения придорожной территории;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повышение уровня благоустроенности территории сельского поселения;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0"/>
        </w:rPr>
        <w:t>- уменьшение количества автомобильных дорог в сельского поселении, которые требует ремонта.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Основные задачи Программы: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модернизация, ремонт, реконструкция, строительство объектов благоустройства дорожного хозяйства.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CD5D4B" w:rsidRDefault="00CD5D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Сроки и этапы реализации программы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Срок действия программы 2022-2032 годы. Реализация программы будет осуществляться весь период.</w:t>
      </w:r>
    </w:p>
    <w:p w:rsidR="00CD5D4B" w:rsidRDefault="00CD5D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5. Система программных мероприятий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ab/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1. Приобретение материалов, ремонт автомобильных дорог общего пользования местного значения и искусственных сооружений на них.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Данное мероприятие предусматривает проведение ремонта автомобильных дорог местного значения.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2. Разработка проектно-сметной документации </w:t>
      </w:r>
    </w:p>
    <w:p w:rsidR="00CD5D4B" w:rsidRDefault="00914D7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Исполнение этого мероприятия обеспечит документальное сопровождение намеченной деятельности.</w:t>
      </w:r>
    </w:p>
    <w:p w:rsidR="00CD5D4B" w:rsidRDefault="00914D7C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Обеспечение безопасности, организации дорожного движения. </w:t>
      </w:r>
    </w:p>
    <w:p w:rsidR="00CD5D4B" w:rsidRDefault="00914D7C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Данное мероприятие предусматривает:</w:t>
      </w:r>
    </w:p>
    <w:p w:rsidR="00CD5D4B" w:rsidRDefault="00914D7C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- содержание автомобильных дорог местного значения;</w:t>
      </w:r>
    </w:p>
    <w:p w:rsidR="00CD5D4B" w:rsidRDefault="00914D7C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ремонт и капитальный ремонт автомобильных дорог местного значения;</w:t>
      </w:r>
    </w:p>
    <w:p w:rsidR="00CD5D4B" w:rsidRDefault="00914D7C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скашивание травы на обочинах;</w:t>
      </w:r>
    </w:p>
    <w:p w:rsidR="00CD5D4B" w:rsidRDefault="00914D7C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очистку проезжей части дорог и обочин.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Перечень основных мероприятий муниципальной программы представлен в приложении №1 к муниципальной программе.</w:t>
      </w:r>
    </w:p>
    <w:p w:rsidR="00CD5D4B" w:rsidRDefault="00CD5D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Разработанные программные мероприятия систематизированы по степени их актуальности.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Список мероприятий на конкретном объекте детализируется после разработки проектно-сметной документации.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Стоимость мероприятий определена ориентировочно.</w:t>
      </w:r>
    </w:p>
    <w:p w:rsidR="00CD5D4B" w:rsidRDefault="00CD5D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1"/>
          <w:numId w:val="3"/>
        </w:num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Основные целевые индикаторы реализации </w:t>
      </w:r>
    </w:p>
    <w:p w:rsidR="00CD5D4B" w:rsidRDefault="00914D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мероприятий Программы:</w:t>
      </w:r>
    </w:p>
    <w:p w:rsidR="00CD5D4B" w:rsidRDefault="00CD5D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Содержание дорог в требуемом техническом состоянии;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Обеспечение безопасности дорожного движения.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В рамках реализации данной Программы в соответствии со стратегическими приоритетами развития сельского поселения,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1"/>
          <w:numId w:val="3"/>
        </w:num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Оценка эффективности реализации Программы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Основными результатами реализации мероприятий являются: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- модернизация и обновление транспортной инфраструктуры поселения; 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- повышение комфортности и безопасности жизнедеятельности населения.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6. Ресурсное обеспечение программы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Реализация программы и ее финансирование осуществляется из средств бюджета Согдинского сельского поселения, а также средств заинтересованных </w:t>
      </w: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организаций поселения по конкретно выполняемым мероприятиям и работам. Объем средств, предусмотренных на выполнение мероприятий Программы, носит прогнозный характер и будет ежегодно уточняться при формировании бюджета Согдинского сельского поселения на соответствующий финансовый год. Финансирование данной Программы осуществляется в соответствии с решением Совета депутатов Согдинского сельского поселения на очередной финансовый год и плановый период</w:t>
      </w: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7. Механизм реализации программы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Механизм реализации программы определяется администрацией сельского поселения и предусматривает проведение организационных мероприятий, включая подготовку и (или) внесение изменений в нормативно правовые акты, обеспечивающие выполнение программы в соответствии с действующим законодательством. В развитие основных мероприятий программы будут утверждаться конкретные мероприятия (стройки, объекты) с учетом развития и текущего транспортно - эксплуатационного состояния автодорог.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Организация управления программой и контроль </w:t>
      </w: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за ходом ее выполнения</w:t>
      </w:r>
    </w:p>
    <w:p w:rsidR="00CD5D4B" w:rsidRDefault="00CD5D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CD5D4B" w:rsidRDefault="00914D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Общий контроль реализации программы и ответственность за организационное обеспечение мероприятий программы, их точную и своевременную реализацию осуществляет администрация Согдинского сельского поселения Верхнебуреинского муниципального района Хабаровского края.</w:t>
      </w: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CD5D4B" w:rsidRDefault="00CD5D4B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sectPr w:rsidR="00CD5D4B">
          <w:pgSz w:w="12240" w:h="15840"/>
          <w:pgMar w:top="1134" w:right="850" w:bottom="1134" w:left="1701" w:header="720" w:footer="720" w:gutter="0"/>
          <w:cols w:space="720"/>
        </w:sectPr>
      </w:pPr>
    </w:p>
    <w:p w:rsidR="00CD5D4B" w:rsidRDefault="00914D7C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Приложение № 1</w:t>
      </w:r>
    </w:p>
    <w:p w:rsidR="00CD5D4B" w:rsidRDefault="00914D7C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к Программе «Комплексное развитие транспортной инфраструктуры на территории Согдинского сельского поселения Верхнебуреинского муниципального района Хабаровского края на 2022-2032 годы»</w:t>
      </w:r>
    </w:p>
    <w:p w:rsidR="00CD5D4B" w:rsidRDefault="00136C19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ПЕРЕЧЕНЬ </w:t>
      </w:r>
      <w:r w:rsidR="00914D7C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ПРОГРАММНЫХ МЕРОПРИЯТИЙ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51"/>
        <w:gridCol w:w="2590"/>
        <w:gridCol w:w="2100"/>
        <w:gridCol w:w="25"/>
        <w:gridCol w:w="1567"/>
        <w:gridCol w:w="919"/>
        <w:gridCol w:w="972"/>
        <w:gridCol w:w="899"/>
        <w:gridCol w:w="907"/>
        <w:gridCol w:w="6"/>
        <w:gridCol w:w="986"/>
        <w:gridCol w:w="11"/>
        <w:gridCol w:w="1288"/>
        <w:gridCol w:w="1186"/>
      </w:tblGrid>
      <w:tr w:rsidR="00CD5D4B">
        <w:trPr>
          <w:cantSplit/>
          <w:trHeight w:val="349"/>
        </w:trPr>
        <w:tc>
          <w:tcPr>
            <w:tcW w:w="207" w:type="pct"/>
            <w:vMerge w:val="restar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№ п/п</w:t>
            </w:r>
          </w:p>
        </w:tc>
        <w:tc>
          <w:tcPr>
            <w:tcW w:w="936" w:type="pct"/>
            <w:gridSpan w:val="2"/>
            <w:vMerge w:val="restar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54" w:type="pct"/>
            <w:gridSpan w:val="2"/>
            <w:vMerge w:val="restar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554" w:type="pct"/>
            <w:vMerge w:val="restar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545" w:type="pct"/>
            <w:gridSpan w:val="9"/>
          </w:tcPr>
          <w:p w:rsidR="00CD5D4B" w:rsidRDefault="00914D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Финансирование по годам (тыс. руб.)</w:t>
            </w:r>
          </w:p>
        </w:tc>
      </w:tr>
      <w:tr w:rsidR="00CD5D4B">
        <w:trPr>
          <w:cantSplit/>
          <w:trHeight w:val="459"/>
        </w:trPr>
        <w:tc>
          <w:tcPr>
            <w:tcW w:w="207" w:type="pct"/>
            <w:vMerge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36" w:type="pct"/>
            <w:gridSpan w:val="2"/>
            <w:vMerge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54" w:type="pct"/>
            <w:gridSpan w:val="2"/>
            <w:vMerge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554" w:type="pct"/>
            <w:vMerge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2022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2023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2024</w:t>
            </w:r>
          </w:p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22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2025</w:t>
            </w:r>
          </w:p>
        </w:tc>
        <w:tc>
          <w:tcPr>
            <w:tcW w:w="352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2026</w:t>
            </w:r>
          </w:p>
        </w:tc>
        <w:tc>
          <w:tcPr>
            <w:tcW w:w="459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2027-2032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Итого:</w:t>
            </w:r>
          </w:p>
        </w:tc>
      </w:tr>
      <w:tr w:rsidR="00CD5D4B">
        <w:trPr>
          <w:trHeight w:val="276"/>
        </w:trPr>
        <w:tc>
          <w:tcPr>
            <w:tcW w:w="207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936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75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554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5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7</w:t>
            </w:r>
          </w:p>
        </w:tc>
        <w:tc>
          <w:tcPr>
            <w:tcW w:w="322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8</w:t>
            </w:r>
          </w:p>
        </w:tc>
        <w:tc>
          <w:tcPr>
            <w:tcW w:w="352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9</w:t>
            </w:r>
          </w:p>
        </w:tc>
        <w:tc>
          <w:tcPr>
            <w:tcW w:w="459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11</w:t>
            </w:r>
          </w:p>
        </w:tc>
      </w:tr>
      <w:tr w:rsidR="00CD5D4B">
        <w:trPr>
          <w:trHeight w:val="276"/>
        </w:trPr>
        <w:tc>
          <w:tcPr>
            <w:tcW w:w="5000" w:type="pct"/>
            <w:gridSpan w:val="15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Содержание автомобильных дорог общего пользования местного значения:</w:t>
            </w:r>
          </w:p>
        </w:tc>
      </w:tr>
      <w:tr w:rsidR="00CD5D4B">
        <w:trPr>
          <w:trHeight w:val="902"/>
        </w:trPr>
        <w:tc>
          <w:tcPr>
            <w:tcW w:w="207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936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 xml:space="preserve">Зимнее содержание автодорог общего пользования местного значения </w:t>
            </w:r>
          </w:p>
        </w:tc>
        <w:tc>
          <w:tcPr>
            <w:tcW w:w="75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554" w:type="pct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150,0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150,0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1200,0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2100,0</w:t>
            </w:r>
          </w:p>
        </w:tc>
      </w:tr>
      <w:tr w:rsidR="00CD5D4B">
        <w:trPr>
          <w:trHeight w:val="1018"/>
        </w:trPr>
        <w:tc>
          <w:tcPr>
            <w:tcW w:w="207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936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Летнее содержание автодорог общего пользования местного значения</w:t>
            </w:r>
          </w:p>
        </w:tc>
        <w:tc>
          <w:tcPr>
            <w:tcW w:w="75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554" w:type="pct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200,0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1200,0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2200,0</w:t>
            </w:r>
          </w:p>
        </w:tc>
      </w:tr>
      <w:tr w:rsidR="00CD5D4B">
        <w:trPr>
          <w:trHeight w:val="256"/>
        </w:trPr>
        <w:tc>
          <w:tcPr>
            <w:tcW w:w="5000" w:type="pct"/>
            <w:gridSpan w:val="15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Ремонт автомобильных дорог общего пользования местного значения:</w:t>
            </w:r>
          </w:p>
        </w:tc>
      </w:tr>
      <w:tr w:rsidR="00CD5D4B">
        <w:trPr>
          <w:trHeight w:val="585"/>
        </w:trPr>
        <w:tc>
          <w:tcPr>
            <w:tcW w:w="225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</w:t>
            </w:r>
          </w:p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Ремонт автомобильных дорог местного значения</w:t>
            </w:r>
          </w:p>
        </w:tc>
        <w:tc>
          <w:tcPr>
            <w:tcW w:w="745" w:type="pct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транспортной инфраструктуры</w:t>
            </w:r>
          </w:p>
        </w:tc>
        <w:tc>
          <w:tcPr>
            <w:tcW w:w="563" w:type="pct"/>
            <w:gridSpan w:val="2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758,0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822,0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978,0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1058,0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1058,0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6348,0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10992,0</w:t>
            </w:r>
          </w:p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</w:tr>
      <w:tr w:rsidR="00CD5D4B">
        <w:trPr>
          <w:trHeight w:val="386"/>
        </w:trPr>
        <w:tc>
          <w:tcPr>
            <w:tcW w:w="4579" w:type="pct"/>
            <w:gridSpan w:val="14"/>
          </w:tcPr>
          <w:p w:rsidR="00CD5D4B" w:rsidRDefault="00914D7C" w:rsidP="00136C19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Обеспечение безопасности дорожного движения</w:t>
            </w:r>
          </w:p>
        </w:tc>
        <w:tc>
          <w:tcPr>
            <w:tcW w:w="420" w:type="pct"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</w:tr>
      <w:tr w:rsidR="00CD5D4B">
        <w:trPr>
          <w:trHeight w:val="1080"/>
        </w:trPr>
        <w:tc>
          <w:tcPr>
            <w:tcW w:w="225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9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745" w:type="pct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563" w:type="pct"/>
            <w:gridSpan w:val="2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50,0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50,0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50,0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150,0</w:t>
            </w:r>
          </w:p>
        </w:tc>
      </w:tr>
      <w:tr w:rsidR="00CD5D4B">
        <w:trPr>
          <w:trHeight w:val="1100"/>
        </w:trPr>
        <w:tc>
          <w:tcPr>
            <w:tcW w:w="225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5</w:t>
            </w:r>
          </w:p>
        </w:tc>
        <w:tc>
          <w:tcPr>
            <w:tcW w:w="9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Приобретение дорожных табличек</w:t>
            </w:r>
          </w:p>
        </w:tc>
        <w:tc>
          <w:tcPr>
            <w:tcW w:w="745" w:type="pct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563" w:type="pct"/>
            <w:gridSpan w:val="2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30,0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30,0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30,0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20" w:type="pct"/>
          </w:tcPr>
          <w:p w:rsidR="00CD5D4B" w:rsidRDefault="00FD45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90</w:t>
            </w:r>
            <w:r w:rsidR="00914D7C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,0</w:t>
            </w:r>
          </w:p>
        </w:tc>
      </w:tr>
      <w:tr w:rsidR="00CD5D4B">
        <w:trPr>
          <w:trHeight w:val="321"/>
        </w:trPr>
        <w:tc>
          <w:tcPr>
            <w:tcW w:w="225" w:type="pct"/>
            <w:gridSpan w:val="2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919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745" w:type="pct"/>
          </w:tcPr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Подготовка исходной документации</w:t>
            </w:r>
          </w:p>
        </w:tc>
        <w:tc>
          <w:tcPr>
            <w:tcW w:w="563" w:type="pct"/>
            <w:gridSpan w:val="2"/>
          </w:tcPr>
          <w:p w:rsidR="00CD5D4B" w:rsidRDefault="00914D7C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бюджет поселения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150,0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150,0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0,0</w:t>
            </w:r>
          </w:p>
        </w:tc>
        <w:tc>
          <w:tcPr>
            <w:tcW w:w="420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300,0</w:t>
            </w:r>
          </w:p>
        </w:tc>
      </w:tr>
      <w:tr w:rsidR="00CD5D4B">
        <w:trPr>
          <w:trHeight w:val="630"/>
        </w:trPr>
        <w:tc>
          <w:tcPr>
            <w:tcW w:w="2454" w:type="pct"/>
            <w:gridSpan w:val="6"/>
          </w:tcPr>
          <w:p w:rsidR="00CD5D4B" w:rsidRDefault="00CD5D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</w:p>
          <w:p w:rsidR="00CD5D4B" w:rsidRDefault="00914D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Итого:</w:t>
            </w:r>
          </w:p>
        </w:tc>
        <w:tc>
          <w:tcPr>
            <w:tcW w:w="326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1338,0</w:t>
            </w:r>
          </w:p>
        </w:tc>
        <w:tc>
          <w:tcPr>
            <w:tcW w:w="34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1402,0</w:t>
            </w:r>
          </w:p>
        </w:tc>
        <w:tc>
          <w:tcPr>
            <w:tcW w:w="319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1458,0</w:t>
            </w:r>
          </w:p>
        </w:tc>
        <w:tc>
          <w:tcPr>
            <w:tcW w:w="32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1458,0</w:t>
            </w:r>
          </w:p>
        </w:tc>
        <w:tc>
          <w:tcPr>
            <w:tcW w:w="354" w:type="pct"/>
            <w:gridSpan w:val="2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1458,0</w:t>
            </w:r>
          </w:p>
        </w:tc>
        <w:tc>
          <w:tcPr>
            <w:tcW w:w="455" w:type="pct"/>
          </w:tcPr>
          <w:p w:rsidR="00CD5D4B" w:rsidRDefault="00914D7C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8718,0</w:t>
            </w:r>
          </w:p>
        </w:tc>
        <w:tc>
          <w:tcPr>
            <w:tcW w:w="420" w:type="pct"/>
          </w:tcPr>
          <w:p w:rsidR="00CD5D4B" w:rsidRDefault="00FD45FF">
            <w:pPr>
              <w:spacing w:after="0" w:line="240" w:lineRule="auto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1583</w:t>
            </w:r>
            <w:bookmarkStart w:id="0" w:name="_GoBack"/>
            <w:bookmarkEnd w:id="0"/>
            <w:r w:rsidR="00914D7C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2,0</w:t>
            </w:r>
          </w:p>
        </w:tc>
      </w:tr>
    </w:tbl>
    <w:p w:rsidR="00CD5D4B" w:rsidRDefault="00CD5D4B">
      <w:pPr>
        <w:spacing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sectPr w:rsidR="00CD5D4B">
      <w:pgSz w:w="15840" w:h="12240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23B" w:rsidRDefault="004E523B">
      <w:pPr>
        <w:spacing w:line="240" w:lineRule="auto"/>
      </w:pPr>
      <w:r>
        <w:separator/>
      </w:r>
    </w:p>
  </w:endnote>
  <w:endnote w:type="continuationSeparator" w:id="0">
    <w:p w:rsidR="004E523B" w:rsidRDefault="004E5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Segoe Print"/>
    <w:charset w:val="CC"/>
    <w:family w:val="auto"/>
    <w:pitch w:val="default"/>
    <w:sig w:usb0="00000000" w:usb1="00000000" w:usb2="00000000" w:usb3="00000000" w:csb0="00000004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23B" w:rsidRDefault="004E523B">
      <w:pPr>
        <w:spacing w:after="0"/>
      </w:pPr>
      <w:r>
        <w:separator/>
      </w:r>
    </w:p>
  </w:footnote>
  <w:footnote w:type="continuationSeparator" w:id="0">
    <w:p w:rsidR="004E523B" w:rsidRDefault="004E52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1699BB"/>
    <w:multiLevelType w:val="singleLevel"/>
    <w:tmpl w:val="9F1699BB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A3F8D935"/>
    <w:multiLevelType w:val="singleLevel"/>
    <w:tmpl w:val="A3F8D93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A979AAE0"/>
    <w:multiLevelType w:val="singleLevel"/>
    <w:tmpl w:val="A979AAE0"/>
    <w:lvl w:ilvl="0">
      <w:start w:val="8"/>
      <w:numFmt w:val="decimal"/>
      <w:suff w:val="space"/>
      <w:lvlText w:val="%1."/>
      <w:lvlJc w:val="left"/>
    </w:lvl>
  </w:abstractNum>
  <w:abstractNum w:abstractNumId="3" w15:restartNumberingAfterBreak="0">
    <w:nsid w:val="35F6D182"/>
    <w:multiLevelType w:val="singleLevel"/>
    <w:tmpl w:val="35F6D182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7A839D00"/>
    <w:multiLevelType w:val="multilevel"/>
    <w:tmpl w:val="7A839D00"/>
    <w:lvl w:ilvl="0">
      <w:start w:val="1"/>
      <w:numFmt w:val="decimal"/>
      <w:suff w:val="space"/>
      <w:lvlText w:val="%1."/>
      <w:lvlJc w:val="left"/>
      <w:pPr>
        <w:ind w:left="-36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4318"/>
    <w:rsid w:val="000E5E5C"/>
    <w:rsid w:val="00136C19"/>
    <w:rsid w:val="001432CB"/>
    <w:rsid w:val="001651FB"/>
    <w:rsid w:val="001B6FDB"/>
    <w:rsid w:val="002022AE"/>
    <w:rsid w:val="00220AF3"/>
    <w:rsid w:val="00281C89"/>
    <w:rsid w:val="002C4318"/>
    <w:rsid w:val="00331917"/>
    <w:rsid w:val="0035304F"/>
    <w:rsid w:val="003607BF"/>
    <w:rsid w:val="004E523B"/>
    <w:rsid w:val="00530652"/>
    <w:rsid w:val="005C1EE8"/>
    <w:rsid w:val="00716EF9"/>
    <w:rsid w:val="007B12BC"/>
    <w:rsid w:val="008A687B"/>
    <w:rsid w:val="008B1AD3"/>
    <w:rsid w:val="008B5739"/>
    <w:rsid w:val="008D226A"/>
    <w:rsid w:val="00914D7C"/>
    <w:rsid w:val="00CC5C6F"/>
    <w:rsid w:val="00CD5D4B"/>
    <w:rsid w:val="00D816B2"/>
    <w:rsid w:val="00F57847"/>
    <w:rsid w:val="00FC60BE"/>
    <w:rsid w:val="00FD45FF"/>
    <w:rsid w:val="2C6A6386"/>
    <w:rsid w:val="32BB35A3"/>
    <w:rsid w:val="3631650C"/>
    <w:rsid w:val="3F0C4185"/>
    <w:rsid w:val="46C333D4"/>
    <w:rsid w:val="5DAF60BC"/>
    <w:rsid w:val="6F94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80070-1C31-4AA5-85EF-4233E121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qFormat/>
    <w:pPr>
      <w:jc w:val="both"/>
    </w:pPr>
    <w:rPr>
      <w:sz w:val="26"/>
    </w:rPr>
  </w:style>
  <w:style w:type="paragraph" w:styleId="3">
    <w:name w:val="Body Text 3"/>
    <w:basedOn w:val="a"/>
    <w:link w:val="30"/>
    <w:qFormat/>
    <w:pPr>
      <w:spacing w:after="0" w:line="240" w:lineRule="auto"/>
      <w:jc w:val="center"/>
    </w:pPr>
    <w:rPr>
      <w:rFonts w:ascii="Verdana" w:eastAsia="Times New Roman" w:hAnsi="Verdana" w:cs="Times New Roman"/>
      <w:szCs w:val="28"/>
    </w:rPr>
  </w:style>
  <w:style w:type="table" w:styleId="a6">
    <w:name w:val="Table Grid"/>
    <w:basedOn w:val="a1"/>
    <w:uiPriority w:val="99"/>
    <w:qFormat/>
    <w:rPr>
      <w:rFonts w:ascii="Calibri" w:eastAsia="Times New Roman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3 Знак"/>
    <w:basedOn w:val="a0"/>
    <w:link w:val="3"/>
    <w:qFormat/>
    <w:rPr>
      <w:rFonts w:ascii="Verdana" w:eastAsia="Times New Roman" w:hAnsi="Verdana" w:cs="Times New Roman"/>
      <w:szCs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AEC886-C097-409E-98D0-665FC5330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3017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172</cp:revision>
  <cp:lastPrinted>2018-10-31T06:14:00Z</cp:lastPrinted>
  <dcterms:created xsi:type="dcterms:W3CDTF">2013-11-19T00:31:00Z</dcterms:created>
  <dcterms:modified xsi:type="dcterms:W3CDTF">2023-03-26T12:24:00Z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246956F89A04449E9C874820B3AC8790</vt:lpwstr>
  </property>
</Properties>
</file>