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color w:val="404040"/>
          <w:sz w:val="28"/>
          <w:szCs w:val="28"/>
        </w:rPr>
      </w:pPr>
      <w:r>
        <w:rPr>
          <w:b/>
          <w:color w:val="404040"/>
          <w:sz w:val="28"/>
          <w:szCs w:val="28"/>
        </w:rPr>
        <w:drawing>
          <wp:inline distT="0" distB="0" distL="0" distR="0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4"/>
        <w:spacing w:before="0"/>
        <w:jc w:val="center"/>
        <w:rPr>
          <w:rFonts w:ascii="Times New Roman" w:hAnsi="Times New Roman" w:cs="Times New Roman"/>
          <w:b/>
          <w:i w:val="0"/>
          <w:color w:val="404040"/>
          <w:sz w:val="28"/>
          <w:szCs w:val="28"/>
        </w:rPr>
      </w:pPr>
      <w:r>
        <w:rPr>
          <w:rFonts w:ascii="Times New Roman" w:hAnsi="Times New Roman" w:cs="Times New Roman"/>
          <w:b/>
          <w:i w:val="0"/>
          <w:color w:val="404040"/>
          <w:sz w:val="28"/>
          <w:szCs w:val="28"/>
        </w:rPr>
        <w:t>АДМИНИСТРАЦИЯ</w:t>
      </w:r>
    </w:p>
    <w:p>
      <w:pPr>
        <w:jc w:val="center"/>
        <w:rPr>
          <w:b/>
          <w:color w:val="404040"/>
          <w:sz w:val="28"/>
          <w:szCs w:val="28"/>
        </w:rPr>
      </w:pPr>
      <w:r>
        <w:rPr>
          <w:b/>
          <w:color w:val="404040"/>
          <w:sz w:val="28"/>
          <w:szCs w:val="28"/>
        </w:rPr>
        <w:t>СОГДИНСКОГО СЕЛЬСКОГО ПОСЕЛЕНИЯ</w:t>
      </w:r>
    </w:p>
    <w:p>
      <w:pPr>
        <w:jc w:val="center"/>
        <w:rPr>
          <w:b/>
          <w:bCs/>
          <w:color w:val="404040"/>
          <w:sz w:val="28"/>
          <w:szCs w:val="28"/>
        </w:rPr>
      </w:pPr>
      <w:r>
        <w:rPr>
          <w:b/>
          <w:bCs/>
          <w:color w:val="404040"/>
          <w:sz w:val="28"/>
          <w:szCs w:val="28"/>
        </w:rPr>
        <w:t>ВЕРХНЕБУРЕИНСКОГО МУНИЦИПАЛЬНОГО РАЙОНА</w:t>
      </w:r>
    </w:p>
    <w:p>
      <w:pPr>
        <w:jc w:val="center"/>
        <w:rPr>
          <w:b/>
          <w:bCs/>
          <w:color w:val="404040"/>
          <w:sz w:val="28"/>
          <w:szCs w:val="28"/>
        </w:rPr>
      </w:pPr>
      <w:r>
        <w:rPr>
          <w:b/>
          <w:bCs/>
          <w:color w:val="404040"/>
          <w:sz w:val="28"/>
          <w:szCs w:val="28"/>
        </w:rPr>
        <w:t>Хабаровского края</w:t>
      </w:r>
    </w:p>
    <w:p>
      <w:pPr>
        <w:jc w:val="center"/>
        <w:rPr>
          <w:color w:val="404040"/>
          <w:sz w:val="28"/>
          <w:szCs w:val="28"/>
        </w:rPr>
      </w:pPr>
    </w:p>
    <w:p>
      <w:pPr>
        <w:jc w:val="center"/>
        <w:rPr>
          <w:b/>
          <w:color w:val="404040"/>
          <w:sz w:val="28"/>
          <w:szCs w:val="28"/>
        </w:rPr>
      </w:pPr>
      <w:r>
        <w:rPr>
          <w:b/>
          <w:color w:val="404040"/>
          <w:sz w:val="28"/>
          <w:szCs w:val="28"/>
        </w:rPr>
        <w:t>ПОСТАНОВЛЕНИЕ</w:t>
      </w:r>
    </w:p>
    <w:tbl>
      <w:tblPr>
        <w:tblStyle w:val="6"/>
        <w:tblpPr w:leftFromText="180" w:rightFromText="180" w:vertAnchor="text" w:horzAnchor="margin" w:tblpY="14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color w:val="404040"/>
                <w:sz w:val="28"/>
                <w:szCs w:val="28"/>
                <w:u w:val="single"/>
              </w:rPr>
            </w:pPr>
          </w:p>
          <w:p>
            <w:pPr>
              <w:jc w:val="center"/>
              <w:rPr>
                <w:color w:val="404040"/>
                <w:sz w:val="28"/>
                <w:szCs w:val="28"/>
                <w:u w:val="single"/>
              </w:rPr>
            </w:pPr>
            <w:r>
              <w:rPr>
                <w:color w:val="404040"/>
                <w:sz w:val="28"/>
                <w:szCs w:val="28"/>
                <w:u w:val="single"/>
              </w:rPr>
              <w:t>20.03.2019 № 13</w:t>
            </w:r>
          </w:p>
          <w:p>
            <w:pPr>
              <w:jc w:val="center"/>
              <w:rPr>
                <w:color w:val="404040"/>
              </w:rPr>
            </w:pPr>
            <w:r>
              <w:rPr>
                <w:color w:val="404040"/>
              </w:rPr>
              <w:t>с. Согда</w:t>
            </w:r>
          </w:p>
        </w:tc>
      </w:tr>
    </w:tbl>
    <w:p>
      <w:pPr>
        <w:jc w:val="center"/>
        <w:rPr>
          <w:color w:val="404040"/>
          <w:sz w:val="28"/>
          <w:szCs w:val="28"/>
        </w:rPr>
      </w:pPr>
    </w:p>
    <w:p>
      <w:pPr>
        <w:jc w:val="center"/>
        <w:rPr>
          <w:color w:val="404040"/>
          <w:sz w:val="28"/>
          <w:szCs w:val="28"/>
        </w:rPr>
      </w:pPr>
    </w:p>
    <w:p>
      <w:pPr>
        <w:jc w:val="center"/>
        <w:rPr>
          <w:color w:val="404040"/>
          <w:sz w:val="28"/>
          <w:szCs w:val="28"/>
        </w:rPr>
      </w:pPr>
    </w:p>
    <w:p>
      <w:pPr>
        <w:pStyle w:val="15"/>
        <w:jc w:val="center"/>
        <w:rPr>
          <w:rFonts w:ascii="Times New Roman" w:hAnsi="Times New Roman" w:cs="Times New Roman"/>
          <w:b w:val="0"/>
          <w:color w:val="404040"/>
          <w:sz w:val="28"/>
          <w:szCs w:val="28"/>
        </w:rPr>
      </w:pPr>
    </w:p>
    <w:tbl>
      <w:tblPr>
        <w:tblStyle w:val="6"/>
        <w:tblpPr w:leftFromText="180" w:rightFromText="180" w:vertAnchor="text" w:horzAnchor="margin" w:tblpY="29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240" w:lineRule="exact"/>
              <w:jc w:val="both"/>
              <w:rPr>
                <w:color w:val="3F3F3F" w:themeColor="text1" w:themeTint="BF"/>
                <w:sz w:val="28"/>
                <w:szCs w:val="28"/>
              </w:rPr>
            </w:pPr>
            <w:r>
              <w:rPr>
                <w:color w:val="3F3F3F" w:themeColor="text1" w:themeTint="BF"/>
                <w:sz w:val="28"/>
                <w:szCs w:val="28"/>
              </w:rPr>
              <w:t xml:space="preserve">Об актуализации и опубликовании в информационно-телекоммуникационной сети «Интернет» на официальном сайте Верхнебуреинского муниципального района Хабаровского края </w:t>
            </w:r>
            <w:r>
              <w:rPr>
                <w:color w:val="FF0000"/>
                <w:sz w:val="28"/>
                <w:szCs w:val="28"/>
              </w:rPr>
              <w:t>(</w:t>
            </w:r>
            <w:r>
              <w:fldChar w:fldCharType="begin"/>
            </w:r>
            <w:r>
              <w:instrText xml:space="preserve"> HYPERLINK "http://www.vbradm.khabkrai.ru" </w:instrText>
            </w:r>
            <w:r>
              <w:fldChar w:fldCharType="separate"/>
            </w:r>
            <w:r>
              <w:rPr>
                <w:rStyle w:val="8"/>
                <w:color w:val="FF0000"/>
                <w:sz w:val="28"/>
                <w:szCs w:val="28"/>
              </w:rPr>
              <w:t>vbradm.khabkrai.ru</w:t>
            </w:r>
            <w:r>
              <w:rPr>
                <w:rStyle w:val="8"/>
                <w:color w:val="FF0000"/>
                <w:sz w:val="28"/>
                <w:szCs w:val="28"/>
              </w:rPr>
              <w:fldChar w:fldCharType="end"/>
            </w:r>
            <w:r>
              <w:rPr>
                <w:color w:val="FF0000"/>
                <w:sz w:val="28"/>
                <w:szCs w:val="28"/>
              </w:rPr>
              <w:t>)</w:t>
            </w:r>
            <w:r>
              <w:rPr>
                <w:color w:val="3F3F3F" w:themeColor="text1" w:themeTint="BF"/>
                <w:sz w:val="28"/>
                <w:szCs w:val="28"/>
              </w:rPr>
              <w:t xml:space="preserve"> информации об объектах, находящихся в муниципальной собственности сельского поселения</w:t>
            </w:r>
          </w:p>
        </w:tc>
      </w:tr>
    </w:tbl>
    <w:p>
      <w:pPr>
        <w:ind w:firstLine="540"/>
        <w:jc w:val="both"/>
        <w:rPr>
          <w:color w:val="3F3F3F" w:themeColor="text1" w:themeTint="BF"/>
          <w:sz w:val="28"/>
          <w:szCs w:val="28"/>
        </w:rPr>
      </w:pPr>
    </w:p>
    <w:p>
      <w:pPr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В целях исполнения подпункта «г» пункта 2 Перечня поручений Президента Российской Федерации от 15 мая 2018 г. № Пр-817ГС,  в соответствии с Федеральным законом от 06 октября 2003 г. № 131-ФЗ, распоряжением Министерства имущественных отношений Хабаровского края от 11 января 2019 г. № 22</w:t>
      </w:r>
      <w:bookmarkStart w:id="0" w:name="_GoBack"/>
      <w:bookmarkEnd w:id="0"/>
      <w:r>
        <w:rPr>
          <w:color w:val="3F3F3F" w:themeColor="text1" w:themeTint="BF"/>
          <w:sz w:val="28"/>
          <w:szCs w:val="28"/>
        </w:rPr>
        <w:t>, администрация Согдинского сельского поселения</w:t>
      </w:r>
    </w:p>
    <w:p>
      <w:pPr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 xml:space="preserve">ПОСТАНОВЛЯЕТ: </w:t>
      </w:r>
    </w:p>
    <w:p>
      <w:pPr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1. Утвердить формы для опубликования информации об объектах, находящихся в муниципальной собственности Согдинского сельского поселения Верхнебуреинского муниципального района Хабаровского края, согласно приложениям № 1 и № 2 к настоящему постановлению.</w:t>
      </w:r>
    </w:p>
    <w:p>
      <w:pPr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 xml:space="preserve">2. Установить периодичность актуализации информации об объектах, находящихся в муниципальной собственности Согдинского сельского поселения Верхнебуреинского муниципального района Хабаровского края, один раз в год не позднее 01 мая года, следующего за отчетным. </w:t>
      </w:r>
    </w:p>
    <w:p>
      <w:pPr>
        <w:ind w:firstLine="567"/>
        <w:jc w:val="both"/>
        <w:rPr>
          <w:color w:val="FF0000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3. Ежегодно, не позднее 15 апреля года, следующего за отчетным, направлять в администрацию района актуализированную информацию об объектах, находящихся в муниципальной собственности Согдинского сельского поселения, для опубликования на официальной сайте администрации Верхнебуреинского муниципального района Хабаровского края</w:t>
      </w:r>
      <w:r>
        <w:rPr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>(</w:t>
      </w:r>
      <w:r>
        <w:fldChar w:fldCharType="begin"/>
      </w:r>
      <w:r>
        <w:instrText xml:space="preserve"> HYPERLINK "http://www.vbradm.khabkrai.ru" </w:instrText>
      </w:r>
      <w:r>
        <w:fldChar w:fldCharType="separate"/>
      </w:r>
      <w:r>
        <w:rPr>
          <w:rStyle w:val="8"/>
          <w:color w:val="FF0000"/>
          <w:sz w:val="28"/>
          <w:szCs w:val="28"/>
        </w:rPr>
        <w:t>vbradm.khabkrai.ru</w:t>
      </w:r>
      <w:r>
        <w:rPr>
          <w:rStyle w:val="8"/>
          <w:color w:val="FF0000"/>
          <w:sz w:val="28"/>
          <w:szCs w:val="28"/>
        </w:rPr>
        <w:fldChar w:fldCharType="end"/>
      </w:r>
      <w:r>
        <w:rPr>
          <w:color w:val="FF0000"/>
          <w:sz w:val="28"/>
          <w:szCs w:val="28"/>
        </w:rPr>
        <w:t>).</w:t>
      </w:r>
    </w:p>
    <w:p>
      <w:pPr>
        <w:ind w:firstLine="567"/>
        <w:jc w:val="both"/>
        <w:rPr>
          <w:color w:val="FF0000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4. Опубликовать настоящее постановление в Вестнике нормативных правовых актов Главы и Совета депутатов Согдинского сельского поселения и разместить в информационно-телекоммуникационной сети «Интернет» на официальном сайте администрации Верхнебуреинского муниципального района</w:t>
      </w:r>
      <w:r>
        <w:rPr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>(</w:t>
      </w:r>
      <w:r>
        <w:fldChar w:fldCharType="begin"/>
      </w:r>
      <w:r>
        <w:instrText xml:space="preserve"> HYPERLINK "http://www.vbradm.khabkrai.ru" </w:instrText>
      </w:r>
      <w:r>
        <w:fldChar w:fldCharType="separate"/>
      </w:r>
      <w:r>
        <w:rPr>
          <w:rStyle w:val="8"/>
          <w:color w:val="FF0000"/>
          <w:sz w:val="28"/>
          <w:szCs w:val="28"/>
        </w:rPr>
        <w:t>vbradm.khabkrai.ru</w:t>
      </w:r>
      <w:r>
        <w:rPr>
          <w:rStyle w:val="8"/>
          <w:color w:val="FF0000"/>
          <w:sz w:val="28"/>
          <w:szCs w:val="28"/>
        </w:rPr>
        <w:fldChar w:fldCharType="end"/>
      </w:r>
      <w:r>
        <w:rPr>
          <w:color w:val="FF0000"/>
          <w:sz w:val="28"/>
          <w:szCs w:val="28"/>
        </w:rPr>
        <w:t>).</w:t>
      </w:r>
    </w:p>
    <w:p>
      <w:pPr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5. Контроль за исполнением настоящего постановления оставляю за собой.</w:t>
      </w:r>
    </w:p>
    <w:p>
      <w:pPr>
        <w:ind w:firstLine="567"/>
        <w:jc w:val="both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6. Настоящее постановление вступает в силу после его официального опубликования (обнародования).</w:t>
      </w:r>
    </w:p>
    <w:p>
      <w:pPr>
        <w:contextualSpacing/>
        <w:jc w:val="both"/>
        <w:rPr>
          <w:color w:val="3F3F3F" w:themeColor="text1" w:themeTint="BF"/>
          <w:sz w:val="28"/>
          <w:szCs w:val="28"/>
        </w:rPr>
      </w:pPr>
    </w:p>
    <w:p>
      <w:pPr>
        <w:contextualSpacing/>
        <w:jc w:val="both"/>
        <w:rPr>
          <w:color w:val="3F3F3F" w:themeColor="text1" w:themeTint="BF"/>
          <w:sz w:val="28"/>
          <w:szCs w:val="28"/>
        </w:rPr>
      </w:pPr>
    </w:p>
    <w:p>
      <w:pPr>
        <w:contextualSpacing/>
        <w:jc w:val="both"/>
        <w:rPr>
          <w:color w:val="3F3F3F" w:themeColor="text1" w:themeTint="BF"/>
          <w:sz w:val="28"/>
          <w:szCs w:val="28"/>
        </w:rPr>
      </w:pPr>
    </w:p>
    <w:p>
      <w:pPr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Глава сельского поселения                                                                  Е.М. Репина</w:t>
      </w: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color w:val="3F3F3F" w:themeColor="text1" w:themeTint="BF"/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  <w:sectPr>
          <w:pgSz w:w="11906" w:h="16838"/>
          <w:pgMar w:top="1134" w:right="851" w:bottom="1701" w:left="1701" w:header="709" w:footer="709" w:gutter="0"/>
          <w:cols w:space="708" w:num="1"/>
          <w:docGrid w:linePitch="360" w:charSpace="0"/>
        </w:sectPr>
      </w:pPr>
    </w:p>
    <w:tbl>
      <w:tblPr>
        <w:tblStyle w:val="13"/>
        <w:tblW w:w="4350" w:type="dxa"/>
        <w:tblInd w:w="1054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4350" w:type="dxa"/>
          </w:tcPr>
          <w:p>
            <w:pPr>
              <w:spacing w:line="240" w:lineRule="exact"/>
              <w:jc w:val="right"/>
              <w:rPr>
                <w:color w:val="3F3F3F" w:themeColor="text1" w:themeTint="BF"/>
                <w:sz w:val="24"/>
                <w:szCs w:val="24"/>
              </w:rPr>
            </w:pPr>
            <w:r>
              <w:rPr>
                <w:color w:val="3F3F3F" w:themeColor="text1" w:themeTint="BF"/>
                <w:sz w:val="24"/>
                <w:szCs w:val="24"/>
              </w:rPr>
              <w:t xml:space="preserve">Приложение № 1 </w:t>
            </w:r>
          </w:p>
          <w:p>
            <w:pPr>
              <w:spacing w:line="240" w:lineRule="exact"/>
              <w:jc w:val="right"/>
              <w:rPr>
                <w:color w:val="3F3F3F" w:themeColor="text1" w:themeTint="BF"/>
                <w:sz w:val="24"/>
                <w:szCs w:val="24"/>
              </w:rPr>
            </w:pPr>
            <w:r>
              <w:rPr>
                <w:color w:val="3F3F3F" w:themeColor="text1" w:themeTint="BF"/>
                <w:sz w:val="24"/>
                <w:szCs w:val="24"/>
              </w:rPr>
              <w:t xml:space="preserve">к постановлению администрации </w:t>
            </w:r>
          </w:p>
          <w:p>
            <w:pPr>
              <w:spacing w:line="240" w:lineRule="exact"/>
              <w:jc w:val="right"/>
              <w:rPr>
                <w:color w:val="3F3F3F" w:themeColor="text1" w:themeTint="BF"/>
                <w:sz w:val="24"/>
                <w:szCs w:val="24"/>
              </w:rPr>
            </w:pPr>
            <w:r>
              <w:rPr>
                <w:color w:val="3F3F3F" w:themeColor="text1" w:themeTint="BF"/>
                <w:sz w:val="24"/>
                <w:szCs w:val="24"/>
              </w:rPr>
              <w:t xml:space="preserve">Согдинского сельского поселения </w:t>
            </w:r>
          </w:p>
          <w:p>
            <w:pPr>
              <w:spacing w:line="240" w:lineRule="exact"/>
              <w:jc w:val="right"/>
              <w:rPr>
                <w:color w:val="3F3F3F" w:themeColor="text1" w:themeTint="BF"/>
                <w:sz w:val="24"/>
                <w:szCs w:val="24"/>
              </w:rPr>
            </w:pPr>
            <w:r>
              <w:rPr>
                <w:color w:val="3F3F3F" w:themeColor="text1" w:themeTint="BF"/>
                <w:sz w:val="24"/>
                <w:szCs w:val="24"/>
              </w:rPr>
              <w:t xml:space="preserve">от 20.03.2019 № 13 </w:t>
            </w:r>
          </w:p>
        </w:tc>
      </w:tr>
    </w:tbl>
    <w:p>
      <w:pPr>
        <w:jc w:val="right"/>
        <w:rPr>
          <w:color w:val="3F3F3F" w:themeColor="text1" w:themeTint="BF"/>
          <w:sz w:val="28"/>
          <w:szCs w:val="28"/>
          <w:u w:val="single"/>
        </w:rPr>
      </w:pPr>
    </w:p>
    <w:p>
      <w:pPr>
        <w:jc w:val="right"/>
        <w:rPr>
          <w:color w:val="3F3F3F" w:themeColor="text1" w:themeTint="BF"/>
          <w:sz w:val="28"/>
          <w:szCs w:val="28"/>
          <w:u w:val="single"/>
        </w:rPr>
      </w:pPr>
      <w:r>
        <w:rPr>
          <w:color w:val="3F3F3F" w:themeColor="text1" w:themeTint="BF"/>
          <w:sz w:val="28"/>
          <w:szCs w:val="28"/>
          <w:u w:val="single"/>
        </w:rPr>
        <w:t>Форма</w:t>
      </w:r>
    </w:p>
    <w:p>
      <w:pPr>
        <w:jc w:val="center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Информация</w:t>
      </w:r>
    </w:p>
    <w:p>
      <w:pPr>
        <w:jc w:val="center"/>
        <w:rPr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об объектах, находящихся в муниципальной собственности Согдинского сельского поселения Верхнебуреинского муниципального района Хабаровского края для опубликования в информационно-телекоммуникационной сети «Интернет» на официальной сайте администрации Верхнебуреинского муниципального района Хабаровского края</w:t>
      </w:r>
      <w:r>
        <w:rPr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>(</w:t>
      </w:r>
      <w:r>
        <w:fldChar w:fldCharType="begin"/>
      </w:r>
      <w:r>
        <w:instrText xml:space="preserve"> HYPERLINK "http://www.vbradm.khabkrai.ru" </w:instrText>
      </w:r>
      <w:r>
        <w:fldChar w:fldCharType="separate"/>
      </w:r>
      <w:r>
        <w:rPr>
          <w:rStyle w:val="8"/>
          <w:color w:val="FF0000"/>
          <w:sz w:val="28"/>
          <w:szCs w:val="28"/>
        </w:rPr>
        <w:t>vbradm.khabkrai.ru</w:t>
      </w:r>
      <w:r>
        <w:rPr>
          <w:rStyle w:val="8"/>
          <w:color w:val="FF0000"/>
          <w:sz w:val="28"/>
          <w:szCs w:val="28"/>
        </w:rPr>
        <w:fldChar w:fldCharType="end"/>
      </w:r>
      <w:r>
        <w:rPr>
          <w:color w:val="FF0000"/>
          <w:sz w:val="28"/>
          <w:szCs w:val="28"/>
        </w:rPr>
        <w:t>)</w:t>
      </w:r>
    </w:p>
    <w:p>
      <w:pPr>
        <w:jc w:val="center"/>
        <w:rPr>
          <w:sz w:val="28"/>
          <w:szCs w:val="28"/>
        </w:rPr>
      </w:pPr>
    </w:p>
    <w:tbl>
      <w:tblPr>
        <w:tblStyle w:val="13"/>
        <w:tblW w:w="142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518"/>
        <w:gridCol w:w="1801"/>
        <w:gridCol w:w="1327"/>
        <w:gridCol w:w="1830"/>
        <w:gridCol w:w="1538"/>
        <w:gridCol w:w="1652"/>
        <w:gridCol w:w="1075"/>
        <w:gridCol w:w="1323"/>
        <w:gridCol w:w="16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  <w:vAlign w:val="center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№ п/п</w:t>
            </w: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Наименование имущества¹</w:t>
            </w:r>
          </w:p>
        </w:tc>
        <w:tc>
          <w:tcPr>
            <w:tcW w:w="1877" w:type="dxa"/>
            <w:vAlign w:val="center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Местонахождение имущества</w:t>
            </w:r>
          </w:p>
        </w:tc>
        <w:tc>
          <w:tcPr>
            <w:tcW w:w="1406" w:type="dxa"/>
            <w:vAlign w:val="center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Кадастровый номер</w:t>
            </w:r>
          </w:p>
        </w:tc>
        <w:tc>
          <w:tcPr>
            <w:tcW w:w="1639" w:type="dxa"/>
            <w:vAlign w:val="center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Техническая характеристика (площадь, протяженность, объем)</w:t>
            </w:r>
          </w:p>
        </w:tc>
        <w:tc>
          <w:tcPr>
            <w:tcW w:w="1639" w:type="dxa"/>
            <w:vAlign w:val="center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Единица измерения технической характеристики (кв.м., п.м., куб.м.)</w:t>
            </w:r>
          </w:p>
        </w:tc>
        <w:tc>
          <w:tcPr>
            <w:tcW w:w="1482" w:type="dxa"/>
            <w:vAlign w:val="center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Целевое назначение (для исполнения каких полномочий района используется)</w:t>
            </w:r>
          </w:p>
        </w:tc>
        <w:tc>
          <w:tcPr>
            <w:tcW w:w="1094" w:type="dxa"/>
            <w:vAlign w:val="center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Правовой режим²</w:t>
            </w: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Обременение правами третьих лиц³</w:t>
            </w:r>
          </w:p>
        </w:tc>
        <w:tc>
          <w:tcPr>
            <w:tcW w:w="1679" w:type="dxa"/>
            <w:vAlign w:val="center"/>
          </w:tcPr>
          <w:p>
            <w:pPr>
              <w:pStyle w:val="35"/>
              <w:jc w:val="center"/>
              <w:rPr>
                <w:color w:val="3F3F3F" w:themeColor="text1" w:themeTint="BF"/>
                <w:sz w:val="22"/>
                <w:szCs w:val="22"/>
              </w:rPr>
            </w:pPr>
            <w:r>
              <w:rPr>
                <w:color w:val="3F3F3F" w:themeColor="text1" w:themeTint="BF"/>
                <w:sz w:val="22"/>
                <w:szCs w:val="22"/>
              </w:rPr>
              <w:t>Ограничения использования</w:t>
            </w:r>
            <w:r>
              <w:rPr>
                <w:rFonts w:eastAsiaTheme="majorEastAsia"/>
                <w:color w:val="3F3F3F" w:themeColor="text1" w:themeTint="BF"/>
                <w:sz w:val="22"/>
                <w:szCs w:val="22"/>
                <w:vertAlign w:val="superscript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  <w:vAlign w:val="center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1</w:t>
            </w: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2</w:t>
            </w:r>
          </w:p>
        </w:tc>
        <w:tc>
          <w:tcPr>
            <w:tcW w:w="1877" w:type="dxa"/>
            <w:vAlign w:val="center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3</w:t>
            </w:r>
          </w:p>
        </w:tc>
        <w:tc>
          <w:tcPr>
            <w:tcW w:w="1406" w:type="dxa"/>
            <w:vAlign w:val="center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4</w:t>
            </w:r>
          </w:p>
        </w:tc>
        <w:tc>
          <w:tcPr>
            <w:tcW w:w="1639" w:type="dxa"/>
            <w:vAlign w:val="center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5</w:t>
            </w:r>
          </w:p>
        </w:tc>
        <w:tc>
          <w:tcPr>
            <w:tcW w:w="1639" w:type="dxa"/>
            <w:vAlign w:val="center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6</w:t>
            </w:r>
          </w:p>
        </w:tc>
        <w:tc>
          <w:tcPr>
            <w:tcW w:w="1482" w:type="dxa"/>
            <w:vAlign w:val="center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7</w:t>
            </w:r>
          </w:p>
        </w:tc>
        <w:tc>
          <w:tcPr>
            <w:tcW w:w="1094" w:type="dxa"/>
            <w:vAlign w:val="center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8</w:t>
            </w: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9</w:t>
            </w:r>
          </w:p>
        </w:tc>
        <w:tc>
          <w:tcPr>
            <w:tcW w:w="1679" w:type="dxa"/>
            <w:vAlign w:val="center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10</w:t>
            </w:r>
          </w:p>
        </w:tc>
      </w:tr>
    </w:tbl>
    <w:p>
      <w:pPr>
        <w:jc w:val="center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_______________</w:t>
      </w:r>
    </w:p>
    <w:p>
      <w:pPr>
        <w:rPr>
          <w:color w:val="3F3F3F" w:themeColor="text1" w:themeTint="BF"/>
          <w:sz w:val="28"/>
          <w:szCs w:val="28"/>
        </w:rPr>
      </w:pPr>
    </w:p>
    <w:p>
      <w:pPr>
        <w:rPr>
          <w:color w:val="3F3F3F" w:themeColor="text1" w:themeTint="BF"/>
          <w:sz w:val="28"/>
          <w:szCs w:val="28"/>
        </w:rPr>
      </w:pPr>
    </w:p>
    <w:p>
      <w:pPr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Глава сельского поселения</w:t>
      </w:r>
    </w:p>
    <w:p>
      <w:pPr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_____________________________________</w:t>
      </w:r>
    </w:p>
    <w:p>
      <w:pPr>
        <w:jc w:val="both"/>
        <w:rPr>
          <w:color w:val="3F3F3F" w:themeColor="text1" w:themeTint="BF"/>
          <w:sz w:val="22"/>
          <w:szCs w:val="22"/>
        </w:rPr>
      </w:pPr>
      <w:r>
        <w:rPr>
          <w:color w:val="3F3F3F" w:themeColor="text1" w:themeTint="BF"/>
          <w:sz w:val="22"/>
          <w:szCs w:val="22"/>
        </w:rPr>
        <w:t>¹Наименование имущества указывается в соответствии с наименованием, указанным в Реестре муниципального имущества Верхнебуреинского муниципального района</w:t>
      </w:r>
    </w:p>
    <w:p>
      <w:pPr>
        <w:jc w:val="both"/>
        <w:rPr>
          <w:color w:val="3F3F3F" w:themeColor="text1" w:themeTint="BF"/>
          <w:sz w:val="22"/>
          <w:szCs w:val="22"/>
        </w:rPr>
      </w:pPr>
      <w:r>
        <w:rPr>
          <w:color w:val="3F3F3F" w:themeColor="text1" w:themeTint="BF"/>
          <w:sz w:val="22"/>
          <w:szCs w:val="22"/>
        </w:rPr>
        <w:t>²Варианты заполнения графы: казна, оперативное управление, хозяйственное ведение</w:t>
      </w:r>
    </w:p>
    <w:p>
      <w:pPr>
        <w:jc w:val="both"/>
        <w:rPr>
          <w:color w:val="3F3F3F" w:themeColor="text1" w:themeTint="BF"/>
          <w:sz w:val="22"/>
          <w:szCs w:val="22"/>
        </w:rPr>
      </w:pPr>
      <w:r>
        <w:rPr>
          <w:color w:val="3F3F3F" w:themeColor="text1" w:themeTint="BF"/>
          <w:sz w:val="22"/>
          <w:szCs w:val="22"/>
        </w:rPr>
        <w:t>³Сведения о заключенных договорах о передаче объекта во временное владение и (или) пользование</w:t>
      </w:r>
    </w:p>
    <w:p>
      <w:pPr>
        <w:jc w:val="both"/>
        <w:rPr>
          <w:sz w:val="22"/>
          <w:szCs w:val="22"/>
        </w:rPr>
      </w:pPr>
      <w:r>
        <w:rPr>
          <w:color w:val="3F3F3F" w:themeColor="text1" w:themeTint="BF"/>
          <w:sz w:val="22"/>
          <w:szCs w:val="22"/>
          <w:vertAlign w:val="superscript"/>
        </w:rPr>
        <w:t>4</w:t>
      </w:r>
      <w:r>
        <w:rPr>
          <w:color w:val="3F3F3F" w:themeColor="text1" w:themeTint="BF"/>
          <w:sz w:val="22"/>
          <w:szCs w:val="22"/>
        </w:rPr>
        <w:t>Графа предназначена для отметки о статусе объекта культурного наследия, о  включении объекта в Прогнозный план приватизации муниципального имущества, о планируемой передаче на иной уровень собственности, о состоянии, требующем капитального ремонта или реконструкции, а также об иных обстоятельствах, ограничивающих использование имущества субъектами малого и среднего предпринимательства, организациями, образующими инфраструктуру поддержки субъектов малого и среднего предпринимательства</w:t>
      </w:r>
    </w:p>
    <w:tbl>
      <w:tblPr>
        <w:tblStyle w:val="13"/>
        <w:tblW w:w="4345" w:type="dxa"/>
        <w:tblInd w:w="1053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4345" w:type="dxa"/>
          </w:tcPr>
          <w:p>
            <w:pPr>
              <w:spacing w:line="240" w:lineRule="exact"/>
              <w:jc w:val="right"/>
              <w:rPr>
                <w:color w:val="3F3F3F" w:themeColor="text1" w:themeTint="BF"/>
                <w:sz w:val="24"/>
                <w:szCs w:val="24"/>
              </w:rPr>
            </w:pPr>
            <w:r>
              <w:rPr>
                <w:color w:val="3F3F3F" w:themeColor="text1" w:themeTint="BF"/>
                <w:sz w:val="24"/>
                <w:szCs w:val="24"/>
              </w:rPr>
              <w:t xml:space="preserve">Приложение № 2 </w:t>
            </w:r>
          </w:p>
          <w:p>
            <w:pPr>
              <w:spacing w:line="240" w:lineRule="exact"/>
              <w:jc w:val="right"/>
              <w:rPr>
                <w:color w:val="3F3F3F" w:themeColor="text1" w:themeTint="BF"/>
                <w:sz w:val="24"/>
                <w:szCs w:val="24"/>
              </w:rPr>
            </w:pPr>
            <w:r>
              <w:rPr>
                <w:color w:val="3F3F3F" w:themeColor="text1" w:themeTint="BF"/>
                <w:sz w:val="24"/>
                <w:szCs w:val="24"/>
              </w:rPr>
              <w:t xml:space="preserve">к постановлению администрации </w:t>
            </w:r>
          </w:p>
          <w:p>
            <w:pPr>
              <w:spacing w:line="240" w:lineRule="exact"/>
              <w:jc w:val="right"/>
              <w:rPr>
                <w:color w:val="3F3F3F" w:themeColor="text1" w:themeTint="BF"/>
                <w:sz w:val="24"/>
                <w:szCs w:val="24"/>
              </w:rPr>
            </w:pPr>
            <w:r>
              <w:rPr>
                <w:color w:val="3F3F3F" w:themeColor="text1" w:themeTint="BF"/>
                <w:sz w:val="24"/>
                <w:szCs w:val="24"/>
              </w:rPr>
              <w:t xml:space="preserve">Согдинского сельского поселения </w:t>
            </w:r>
          </w:p>
          <w:p>
            <w:pPr>
              <w:jc w:val="right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  <w:sz w:val="24"/>
                <w:szCs w:val="24"/>
              </w:rPr>
              <w:t xml:space="preserve">от 20.03.2019 № 13 </w:t>
            </w:r>
          </w:p>
        </w:tc>
      </w:tr>
    </w:tbl>
    <w:p>
      <w:pPr>
        <w:spacing w:line="240" w:lineRule="exact"/>
        <w:jc w:val="right"/>
        <w:rPr>
          <w:color w:val="3F3F3F" w:themeColor="text1" w:themeTint="BF"/>
        </w:rPr>
      </w:pPr>
    </w:p>
    <w:p>
      <w:pPr>
        <w:jc w:val="right"/>
        <w:rPr>
          <w:color w:val="3F3F3F" w:themeColor="text1" w:themeTint="BF"/>
          <w:sz w:val="28"/>
          <w:szCs w:val="28"/>
          <w:u w:val="single"/>
        </w:rPr>
      </w:pPr>
      <w:r>
        <w:rPr>
          <w:color w:val="3F3F3F" w:themeColor="text1" w:themeTint="BF"/>
          <w:sz w:val="28"/>
          <w:szCs w:val="28"/>
          <w:u w:val="single"/>
        </w:rPr>
        <w:t>Форма</w:t>
      </w:r>
    </w:p>
    <w:p>
      <w:pPr>
        <w:rPr>
          <w:color w:val="3F3F3F" w:themeColor="text1" w:themeTint="BF"/>
          <w:sz w:val="28"/>
          <w:szCs w:val="28"/>
        </w:rPr>
      </w:pPr>
    </w:p>
    <w:p>
      <w:pPr>
        <w:jc w:val="center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Информация</w:t>
      </w:r>
    </w:p>
    <w:p>
      <w:pPr>
        <w:jc w:val="center"/>
        <w:rPr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о земельных участках, находящихся в муниципальной собственности Согдинского сельского поселения Верхнебуреинского муниципального района Хабаровского края для опубликования в информационно-телекоммуникационной сети «Интернет» на официальной сайте администрации Верхнебуреинского муниципального района Хабаровского края</w:t>
      </w:r>
      <w:r>
        <w:rPr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>(</w:t>
      </w:r>
      <w:r>
        <w:fldChar w:fldCharType="begin"/>
      </w:r>
      <w:r>
        <w:instrText xml:space="preserve"> HYPERLINK "http://www.vbradm.khabkrai.ru" </w:instrText>
      </w:r>
      <w:r>
        <w:fldChar w:fldCharType="separate"/>
      </w:r>
      <w:r>
        <w:rPr>
          <w:rStyle w:val="8"/>
          <w:color w:val="FF0000"/>
          <w:sz w:val="28"/>
          <w:szCs w:val="28"/>
        </w:rPr>
        <w:t>vbradm.khabkrai.ru</w:t>
      </w:r>
      <w:r>
        <w:rPr>
          <w:rStyle w:val="8"/>
          <w:color w:val="FF0000"/>
          <w:sz w:val="28"/>
          <w:szCs w:val="28"/>
        </w:rPr>
        <w:fldChar w:fldCharType="end"/>
      </w:r>
      <w:r>
        <w:rPr>
          <w:color w:val="FF0000"/>
          <w:sz w:val="28"/>
          <w:szCs w:val="28"/>
        </w:rPr>
        <w:t>)</w:t>
      </w:r>
    </w:p>
    <w:p>
      <w:pPr>
        <w:jc w:val="center"/>
        <w:rPr>
          <w:sz w:val="28"/>
          <w:szCs w:val="28"/>
        </w:rPr>
      </w:pPr>
    </w:p>
    <w:tbl>
      <w:tblPr>
        <w:tblStyle w:val="13"/>
        <w:tblW w:w="149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2389"/>
        <w:gridCol w:w="1797"/>
        <w:gridCol w:w="1797"/>
        <w:gridCol w:w="1797"/>
        <w:gridCol w:w="1647"/>
        <w:gridCol w:w="2096"/>
        <w:gridCol w:w="28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570" w:type="dxa"/>
            <w:vAlign w:val="center"/>
          </w:tcPr>
          <w:p>
            <w:pPr>
              <w:jc w:val="center"/>
              <w:rPr>
                <w:color w:val="3F3F3F" w:themeColor="text1" w:themeTint="BF"/>
                <w:sz w:val="24"/>
                <w:szCs w:val="24"/>
              </w:rPr>
            </w:pPr>
            <w:r>
              <w:rPr>
                <w:color w:val="3F3F3F" w:themeColor="text1" w:themeTint="BF"/>
                <w:sz w:val="24"/>
                <w:szCs w:val="24"/>
              </w:rPr>
              <w:t>№ п/п</w:t>
            </w:r>
          </w:p>
        </w:tc>
        <w:tc>
          <w:tcPr>
            <w:tcW w:w="2389" w:type="dxa"/>
            <w:vAlign w:val="center"/>
          </w:tcPr>
          <w:p>
            <w:pPr>
              <w:jc w:val="center"/>
              <w:rPr>
                <w:color w:val="3F3F3F" w:themeColor="text1" w:themeTint="BF"/>
                <w:sz w:val="24"/>
                <w:szCs w:val="24"/>
              </w:rPr>
            </w:pPr>
            <w:r>
              <w:rPr>
                <w:color w:val="3F3F3F" w:themeColor="text1" w:themeTint="BF"/>
                <w:sz w:val="24"/>
                <w:szCs w:val="24"/>
              </w:rPr>
              <w:t>Местонахождение земельного участка</w:t>
            </w:r>
          </w:p>
        </w:tc>
        <w:tc>
          <w:tcPr>
            <w:tcW w:w="1797" w:type="dxa"/>
            <w:vAlign w:val="center"/>
          </w:tcPr>
          <w:p>
            <w:pPr>
              <w:jc w:val="center"/>
              <w:rPr>
                <w:color w:val="3F3F3F" w:themeColor="text1" w:themeTint="BF"/>
                <w:sz w:val="24"/>
                <w:szCs w:val="24"/>
              </w:rPr>
            </w:pPr>
            <w:r>
              <w:rPr>
                <w:color w:val="3F3F3F" w:themeColor="text1" w:themeTint="BF"/>
                <w:sz w:val="24"/>
                <w:szCs w:val="24"/>
              </w:rPr>
              <w:t>Кадастровый номер</w:t>
            </w:r>
          </w:p>
        </w:tc>
        <w:tc>
          <w:tcPr>
            <w:tcW w:w="1797" w:type="dxa"/>
            <w:vAlign w:val="center"/>
          </w:tcPr>
          <w:p>
            <w:pPr>
              <w:jc w:val="center"/>
              <w:rPr>
                <w:color w:val="3F3F3F" w:themeColor="text1" w:themeTint="BF"/>
                <w:sz w:val="24"/>
                <w:szCs w:val="24"/>
              </w:rPr>
            </w:pPr>
            <w:r>
              <w:rPr>
                <w:color w:val="3F3F3F" w:themeColor="text1" w:themeTint="BF"/>
                <w:sz w:val="24"/>
                <w:szCs w:val="24"/>
              </w:rPr>
              <w:t>Тип земельного участка</w:t>
            </w:r>
            <w:r>
              <w:rPr>
                <w:color w:val="3F3F3F" w:themeColor="text1" w:themeTint="BF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797" w:type="dxa"/>
            <w:vAlign w:val="center"/>
          </w:tcPr>
          <w:p>
            <w:pPr>
              <w:jc w:val="center"/>
              <w:rPr>
                <w:color w:val="3F3F3F" w:themeColor="text1" w:themeTint="BF"/>
                <w:sz w:val="24"/>
                <w:szCs w:val="24"/>
              </w:rPr>
            </w:pPr>
            <w:r>
              <w:rPr>
                <w:color w:val="3F3F3F" w:themeColor="text1" w:themeTint="BF"/>
                <w:sz w:val="24"/>
                <w:szCs w:val="24"/>
              </w:rPr>
              <w:t>Площадь земельного участка, кв.м.</w:t>
            </w:r>
          </w:p>
        </w:tc>
        <w:tc>
          <w:tcPr>
            <w:tcW w:w="1647" w:type="dxa"/>
            <w:vAlign w:val="center"/>
          </w:tcPr>
          <w:p>
            <w:pPr>
              <w:jc w:val="center"/>
              <w:rPr>
                <w:color w:val="3F3F3F" w:themeColor="text1" w:themeTint="BF"/>
                <w:sz w:val="24"/>
                <w:szCs w:val="24"/>
              </w:rPr>
            </w:pPr>
            <w:r>
              <w:rPr>
                <w:color w:val="3F3F3F" w:themeColor="text1" w:themeTint="BF"/>
                <w:sz w:val="24"/>
                <w:szCs w:val="24"/>
              </w:rPr>
              <w:t>Категория земель</w:t>
            </w:r>
          </w:p>
        </w:tc>
        <w:tc>
          <w:tcPr>
            <w:tcW w:w="2096" w:type="dxa"/>
            <w:vAlign w:val="center"/>
          </w:tcPr>
          <w:p>
            <w:pPr>
              <w:jc w:val="center"/>
              <w:rPr>
                <w:color w:val="3F3F3F" w:themeColor="text1" w:themeTint="BF"/>
                <w:sz w:val="24"/>
                <w:szCs w:val="24"/>
              </w:rPr>
            </w:pPr>
            <w:r>
              <w:rPr>
                <w:color w:val="3F3F3F" w:themeColor="text1" w:themeTint="BF"/>
                <w:sz w:val="24"/>
                <w:szCs w:val="24"/>
              </w:rPr>
              <w:t>Разрешенное использование</w:t>
            </w:r>
          </w:p>
        </w:tc>
        <w:tc>
          <w:tcPr>
            <w:tcW w:w="2846" w:type="dxa"/>
            <w:vAlign w:val="center"/>
          </w:tcPr>
          <w:p>
            <w:pPr>
              <w:jc w:val="center"/>
              <w:rPr>
                <w:color w:val="3F3F3F" w:themeColor="text1" w:themeTint="BF"/>
                <w:sz w:val="24"/>
                <w:szCs w:val="24"/>
              </w:rPr>
            </w:pPr>
            <w:r>
              <w:rPr>
                <w:color w:val="3F3F3F" w:themeColor="text1" w:themeTint="BF"/>
                <w:sz w:val="24"/>
                <w:szCs w:val="24"/>
              </w:rPr>
              <w:t>Дата и номер государственной регистрации права муниципальной собственности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570" w:type="dxa"/>
            <w:vAlign w:val="center"/>
          </w:tcPr>
          <w:p>
            <w:pPr>
              <w:jc w:val="center"/>
              <w:rPr>
                <w:color w:val="3F3F3F" w:themeColor="text1" w:themeTint="BF"/>
                <w:sz w:val="24"/>
                <w:szCs w:val="24"/>
              </w:rPr>
            </w:pPr>
            <w:r>
              <w:rPr>
                <w:color w:val="3F3F3F" w:themeColor="text1" w:themeTint="BF"/>
                <w:sz w:val="24"/>
                <w:szCs w:val="24"/>
              </w:rPr>
              <w:t>1</w:t>
            </w:r>
          </w:p>
        </w:tc>
        <w:tc>
          <w:tcPr>
            <w:tcW w:w="2389" w:type="dxa"/>
            <w:vAlign w:val="center"/>
          </w:tcPr>
          <w:p>
            <w:pPr>
              <w:jc w:val="center"/>
              <w:rPr>
                <w:color w:val="3F3F3F" w:themeColor="text1" w:themeTint="BF"/>
                <w:sz w:val="24"/>
                <w:szCs w:val="24"/>
              </w:rPr>
            </w:pPr>
            <w:r>
              <w:rPr>
                <w:color w:val="3F3F3F" w:themeColor="text1" w:themeTint="BF"/>
                <w:sz w:val="24"/>
                <w:szCs w:val="24"/>
              </w:rPr>
              <w:t>2</w:t>
            </w:r>
          </w:p>
        </w:tc>
        <w:tc>
          <w:tcPr>
            <w:tcW w:w="1797" w:type="dxa"/>
            <w:vAlign w:val="center"/>
          </w:tcPr>
          <w:p>
            <w:pPr>
              <w:jc w:val="center"/>
              <w:rPr>
                <w:color w:val="3F3F3F" w:themeColor="text1" w:themeTint="BF"/>
                <w:sz w:val="24"/>
                <w:szCs w:val="24"/>
              </w:rPr>
            </w:pPr>
            <w:r>
              <w:rPr>
                <w:color w:val="3F3F3F" w:themeColor="text1" w:themeTint="BF"/>
                <w:sz w:val="24"/>
                <w:szCs w:val="24"/>
              </w:rPr>
              <w:t>3</w:t>
            </w:r>
          </w:p>
        </w:tc>
        <w:tc>
          <w:tcPr>
            <w:tcW w:w="1797" w:type="dxa"/>
            <w:vAlign w:val="center"/>
          </w:tcPr>
          <w:p>
            <w:pPr>
              <w:jc w:val="center"/>
              <w:rPr>
                <w:color w:val="3F3F3F" w:themeColor="text1" w:themeTint="BF"/>
                <w:sz w:val="24"/>
                <w:szCs w:val="24"/>
              </w:rPr>
            </w:pPr>
            <w:r>
              <w:rPr>
                <w:color w:val="3F3F3F" w:themeColor="text1" w:themeTint="BF"/>
                <w:sz w:val="24"/>
                <w:szCs w:val="24"/>
              </w:rPr>
              <w:t>4</w:t>
            </w:r>
          </w:p>
        </w:tc>
        <w:tc>
          <w:tcPr>
            <w:tcW w:w="1797" w:type="dxa"/>
            <w:vAlign w:val="center"/>
          </w:tcPr>
          <w:p>
            <w:pPr>
              <w:jc w:val="center"/>
              <w:rPr>
                <w:color w:val="3F3F3F" w:themeColor="text1" w:themeTint="BF"/>
                <w:sz w:val="24"/>
                <w:szCs w:val="24"/>
              </w:rPr>
            </w:pPr>
            <w:r>
              <w:rPr>
                <w:color w:val="3F3F3F" w:themeColor="text1" w:themeTint="BF"/>
                <w:sz w:val="24"/>
                <w:szCs w:val="24"/>
              </w:rPr>
              <w:t>5</w:t>
            </w:r>
          </w:p>
        </w:tc>
        <w:tc>
          <w:tcPr>
            <w:tcW w:w="1647" w:type="dxa"/>
            <w:vAlign w:val="center"/>
          </w:tcPr>
          <w:p>
            <w:pPr>
              <w:jc w:val="center"/>
              <w:rPr>
                <w:color w:val="3F3F3F" w:themeColor="text1" w:themeTint="BF"/>
                <w:sz w:val="24"/>
                <w:szCs w:val="24"/>
              </w:rPr>
            </w:pPr>
            <w:r>
              <w:rPr>
                <w:color w:val="3F3F3F" w:themeColor="text1" w:themeTint="BF"/>
                <w:sz w:val="24"/>
                <w:szCs w:val="24"/>
              </w:rPr>
              <w:t>6</w:t>
            </w:r>
          </w:p>
        </w:tc>
        <w:tc>
          <w:tcPr>
            <w:tcW w:w="2096" w:type="dxa"/>
            <w:vAlign w:val="center"/>
          </w:tcPr>
          <w:p>
            <w:pPr>
              <w:jc w:val="center"/>
              <w:rPr>
                <w:color w:val="3F3F3F" w:themeColor="text1" w:themeTint="BF"/>
                <w:sz w:val="24"/>
                <w:szCs w:val="24"/>
              </w:rPr>
            </w:pPr>
            <w:r>
              <w:rPr>
                <w:color w:val="3F3F3F" w:themeColor="text1" w:themeTint="BF"/>
                <w:sz w:val="24"/>
                <w:szCs w:val="24"/>
              </w:rPr>
              <w:t>7</w:t>
            </w:r>
          </w:p>
        </w:tc>
        <w:tc>
          <w:tcPr>
            <w:tcW w:w="2846" w:type="dxa"/>
            <w:vAlign w:val="center"/>
          </w:tcPr>
          <w:p>
            <w:pPr>
              <w:jc w:val="center"/>
              <w:rPr>
                <w:color w:val="3F3F3F" w:themeColor="text1" w:themeTint="BF"/>
                <w:sz w:val="24"/>
                <w:szCs w:val="24"/>
              </w:rPr>
            </w:pPr>
            <w:r>
              <w:rPr>
                <w:color w:val="3F3F3F" w:themeColor="text1" w:themeTint="BF"/>
                <w:sz w:val="24"/>
                <w:szCs w:val="24"/>
              </w:rPr>
              <w:t>8</w:t>
            </w:r>
          </w:p>
        </w:tc>
      </w:tr>
    </w:tbl>
    <w:p>
      <w:pPr>
        <w:jc w:val="center"/>
        <w:rPr>
          <w:color w:val="3F3F3F" w:themeColor="text1" w:themeTint="BF"/>
          <w:sz w:val="28"/>
          <w:szCs w:val="28"/>
        </w:rPr>
      </w:pPr>
    </w:p>
    <w:p>
      <w:pPr>
        <w:rPr>
          <w:color w:val="3F3F3F" w:themeColor="text1" w:themeTint="BF"/>
          <w:sz w:val="28"/>
          <w:szCs w:val="28"/>
        </w:rPr>
      </w:pPr>
    </w:p>
    <w:p>
      <w:pPr>
        <w:rPr>
          <w:color w:val="3F3F3F" w:themeColor="text1" w:themeTint="BF"/>
          <w:sz w:val="28"/>
          <w:szCs w:val="28"/>
        </w:rPr>
      </w:pPr>
    </w:p>
    <w:p>
      <w:pPr>
        <w:rPr>
          <w:color w:val="3F3F3F" w:themeColor="text1" w:themeTint="BF"/>
          <w:sz w:val="28"/>
          <w:szCs w:val="28"/>
        </w:rPr>
      </w:pPr>
    </w:p>
    <w:p>
      <w:pPr>
        <w:rPr>
          <w:color w:val="3F3F3F" w:themeColor="text1" w:themeTint="BF"/>
          <w:sz w:val="28"/>
          <w:szCs w:val="28"/>
        </w:rPr>
      </w:pPr>
    </w:p>
    <w:p>
      <w:pPr>
        <w:rPr>
          <w:color w:val="3F3F3F" w:themeColor="text1" w:themeTint="BF"/>
          <w:sz w:val="28"/>
          <w:szCs w:val="28"/>
        </w:rPr>
      </w:pPr>
    </w:p>
    <w:p>
      <w:pPr>
        <w:rPr>
          <w:color w:val="3F3F3F" w:themeColor="text1" w:themeTint="BF"/>
          <w:sz w:val="28"/>
          <w:szCs w:val="28"/>
        </w:rPr>
      </w:pPr>
    </w:p>
    <w:p>
      <w:pPr>
        <w:rPr>
          <w:color w:val="3F3F3F" w:themeColor="text1" w:themeTint="BF"/>
          <w:sz w:val="28"/>
          <w:szCs w:val="28"/>
        </w:rPr>
      </w:pPr>
    </w:p>
    <w:p>
      <w:pPr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_____________________________________</w:t>
      </w:r>
    </w:p>
    <w:p>
      <w:pPr>
        <w:jc w:val="both"/>
        <w:rPr>
          <w:color w:val="3F3F3F" w:themeColor="text1" w:themeTint="BF"/>
          <w:sz w:val="22"/>
          <w:szCs w:val="22"/>
        </w:rPr>
      </w:pPr>
      <w:r>
        <w:rPr>
          <w:color w:val="3F3F3F" w:themeColor="text1" w:themeTint="BF"/>
          <w:sz w:val="22"/>
          <w:szCs w:val="22"/>
          <w:vertAlign w:val="superscript"/>
        </w:rPr>
        <w:t>5</w:t>
      </w:r>
      <w:r>
        <w:rPr>
          <w:color w:val="3F3F3F" w:themeColor="text1" w:themeTint="BF"/>
          <w:sz w:val="22"/>
          <w:szCs w:val="22"/>
        </w:rPr>
        <w:t>Варианты заполнения графы: обособленный, единое землепользование, многоконтурный</w:t>
      </w:r>
    </w:p>
    <w:p>
      <w:pPr>
        <w:jc w:val="both"/>
        <w:rPr>
          <w:color w:val="3F3F3F" w:themeColor="text1" w:themeTint="BF"/>
          <w:sz w:val="22"/>
          <w:szCs w:val="22"/>
        </w:rPr>
      </w:pPr>
    </w:p>
    <w:p>
      <w:pPr>
        <w:jc w:val="both"/>
        <w:rPr>
          <w:sz w:val="22"/>
          <w:szCs w:val="22"/>
          <w:vertAlign w:val="superscript"/>
        </w:rPr>
      </w:pPr>
    </w:p>
    <w:p>
      <w:pPr>
        <w:jc w:val="both"/>
        <w:rPr>
          <w:sz w:val="22"/>
          <w:szCs w:val="22"/>
        </w:rPr>
      </w:pPr>
    </w:p>
    <w:tbl>
      <w:tblPr>
        <w:tblStyle w:val="13"/>
        <w:tblW w:w="4562" w:type="dxa"/>
        <w:tblInd w:w="1035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4562" w:type="dxa"/>
          </w:tcPr>
          <w:p>
            <w:pPr>
              <w:spacing w:line="240" w:lineRule="exact"/>
              <w:jc w:val="right"/>
              <w:rPr>
                <w:color w:val="3F3F3F" w:themeColor="text1" w:themeTint="BF"/>
                <w:sz w:val="24"/>
                <w:szCs w:val="24"/>
              </w:rPr>
            </w:pPr>
            <w:r>
              <w:rPr>
                <w:color w:val="3F3F3F" w:themeColor="text1" w:themeTint="BF"/>
                <w:sz w:val="24"/>
                <w:szCs w:val="24"/>
              </w:rPr>
              <w:t>продолжение приложения № 2</w:t>
            </w:r>
          </w:p>
          <w:p>
            <w:pPr>
              <w:spacing w:line="240" w:lineRule="exact"/>
              <w:jc w:val="right"/>
              <w:rPr>
                <w:color w:val="3F3F3F" w:themeColor="text1" w:themeTint="BF"/>
                <w:sz w:val="24"/>
                <w:szCs w:val="24"/>
              </w:rPr>
            </w:pPr>
            <w:r>
              <w:rPr>
                <w:color w:val="3F3F3F" w:themeColor="text1" w:themeTint="BF"/>
                <w:sz w:val="24"/>
                <w:szCs w:val="24"/>
              </w:rPr>
              <w:t xml:space="preserve"> к постановлению администрации Согдинского сельского поселения </w:t>
            </w:r>
          </w:p>
          <w:p>
            <w:pPr>
              <w:spacing w:line="240" w:lineRule="exact"/>
              <w:jc w:val="right"/>
              <w:rPr>
                <w:color w:val="3F3F3F" w:themeColor="text1" w:themeTint="BF"/>
                <w:sz w:val="24"/>
                <w:szCs w:val="24"/>
              </w:rPr>
            </w:pPr>
            <w:r>
              <w:rPr>
                <w:color w:val="3F3F3F" w:themeColor="text1" w:themeTint="BF"/>
                <w:sz w:val="24"/>
                <w:szCs w:val="24"/>
              </w:rPr>
              <w:t>от 20.03.2019 № 13</w:t>
            </w:r>
          </w:p>
        </w:tc>
      </w:tr>
    </w:tbl>
    <w:p>
      <w:pPr>
        <w:spacing w:line="240" w:lineRule="exact"/>
        <w:jc w:val="right"/>
        <w:rPr>
          <w:color w:val="3F3F3F" w:themeColor="text1" w:themeTint="BF"/>
        </w:rPr>
      </w:pPr>
    </w:p>
    <w:p>
      <w:pPr>
        <w:jc w:val="center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Информация</w:t>
      </w:r>
    </w:p>
    <w:p>
      <w:pPr>
        <w:jc w:val="center"/>
        <w:rPr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о земельных участках, находящихся в муниципальной собственности Согдинского сельского поселения Верхнебуреинского муниципального района Хабаровского края для опубликования в информационно-телекоммуникационной сети «Интернет» на официальной сайте администрации Верхнебуреинского муниципального района Хабаровского края</w:t>
      </w:r>
      <w:r>
        <w:rPr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>(</w:t>
      </w:r>
      <w:r>
        <w:fldChar w:fldCharType="begin"/>
      </w:r>
      <w:r>
        <w:instrText xml:space="preserve"> HYPERLINK "http://www.vbradm.khabkrai.ru" </w:instrText>
      </w:r>
      <w:r>
        <w:fldChar w:fldCharType="separate"/>
      </w:r>
      <w:r>
        <w:rPr>
          <w:rStyle w:val="8"/>
          <w:color w:val="FF0000"/>
          <w:sz w:val="28"/>
          <w:szCs w:val="28"/>
        </w:rPr>
        <w:t>vbradm.khabkrai.ru</w:t>
      </w:r>
      <w:r>
        <w:rPr>
          <w:rStyle w:val="8"/>
          <w:color w:val="FF0000"/>
          <w:sz w:val="28"/>
          <w:szCs w:val="28"/>
        </w:rPr>
        <w:fldChar w:fldCharType="end"/>
      </w:r>
      <w:r>
        <w:rPr>
          <w:color w:val="FF0000"/>
          <w:sz w:val="28"/>
          <w:szCs w:val="28"/>
        </w:rPr>
        <w:t>)</w:t>
      </w:r>
    </w:p>
    <w:p>
      <w:pPr>
        <w:jc w:val="center"/>
        <w:rPr>
          <w:sz w:val="28"/>
          <w:szCs w:val="28"/>
        </w:rPr>
      </w:pPr>
    </w:p>
    <w:tbl>
      <w:tblPr>
        <w:tblStyle w:val="13"/>
        <w:tblW w:w="149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1599"/>
        <w:gridCol w:w="4588"/>
        <w:gridCol w:w="2665"/>
        <w:gridCol w:w="2515"/>
        <w:gridCol w:w="2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1179" w:type="dxa"/>
            <w:vAlign w:val="center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Правовой режим</w:t>
            </w:r>
            <w:r>
              <w:rPr>
                <w:color w:val="3F3F3F" w:themeColor="text1" w:themeTint="BF"/>
                <w:vertAlign w:val="superscript"/>
              </w:rPr>
              <w:t>6</w:t>
            </w:r>
          </w:p>
        </w:tc>
        <w:tc>
          <w:tcPr>
            <w:tcW w:w="1599" w:type="dxa"/>
            <w:vAlign w:val="center"/>
          </w:tcPr>
          <w:p>
            <w:pPr>
              <w:pStyle w:val="35"/>
              <w:jc w:val="center"/>
              <w:rPr>
                <w:color w:val="3F3F3F" w:themeColor="text1" w:themeTint="BF"/>
                <w:sz w:val="22"/>
                <w:szCs w:val="22"/>
              </w:rPr>
            </w:pPr>
            <w:r>
              <w:rPr>
                <w:color w:val="3F3F3F" w:themeColor="text1" w:themeTint="BF"/>
                <w:sz w:val="22"/>
                <w:szCs w:val="22"/>
              </w:rPr>
              <w:t>Регистрация права в ЕГРН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Дата предоставления земельного участка, реквизиты договора аренды или правового акта о предоставлении земельного участка</w:t>
            </w:r>
          </w:p>
        </w:tc>
        <w:tc>
          <w:tcPr>
            <w:tcW w:w="2665" w:type="dxa"/>
            <w:vAlign w:val="center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Дата окончания срока аренды или безвозмездного пользования</w:t>
            </w:r>
          </w:p>
        </w:tc>
        <w:tc>
          <w:tcPr>
            <w:tcW w:w="2515" w:type="dxa"/>
            <w:vAlign w:val="center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Кадастровая стоимость, рублей</w:t>
            </w: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Ограничения использования</w:t>
            </w:r>
            <w:r>
              <w:rPr>
                <w:color w:val="3F3F3F" w:themeColor="text1" w:themeTint="BF"/>
                <w:vertAlign w:val="superscript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1179" w:type="dxa"/>
            <w:vAlign w:val="center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9</w:t>
            </w:r>
          </w:p>
        </w:tc>
        <w:tc>
          <w:tcPr>
            <w:tcW w:w="1599" w:type="dxa"/>
            <w:vAlign w:val="center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10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11</w:t>
            </w:r>
          </w:p>
        </w:tc>
        <w:tc>
          <w:tcPr>
            <w:tcW w:w="2665" w:type="dxa"/>
            <w:vAlign w:val="center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12</w:t>
            </w:r>
          </w:p>
        </w:tc>
        <w:tc>
          <w:tcPr>
            <w:tcW w:w="2515" w:type="dxa"/>
            <w:vAlign w:val="center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13</w:t>
            </w: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color w:val="3F3F3F" w:themeColor="text1" w:themeTint="BF"/>
              </w:rPr>
            </w:pPr>
            <w:r>
              <w:rPr>
                <w:color w:val="3F3F3F" w:themeColor="text1" w:themeTint="BF"/>
              </w:rPr>
              <w:t>14</w:t>
            </w:r>
          </w:p>
        </w:tc>
      </w:tr>
    </w:tbl>
    <w:p>
      <w:pPr>
        <w:jc w:val="center"/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_______________</w:t>
      </w:r>
    </w:p>
    <w:p>
      <w:pPr>
        <w:rPr>
          <w:color w:val="3F3F3F" w:themeColor="text1" w:themeTint="BF"/>
          <w:sz w:val="28"/>
          <w:szCs w:val="28"/>
        </w:rPr>
      </w:pPr>
    </w:p>
    <w:p>
      <w:pPr>
        <w:rPr>
          <w:color w:val="3F3F3F" w:themeColor="text1" w:themeTint="BF"/>
          <w:sz w:val="28"/>
          <w:szCs w:val="28"/>
        </w:rPr>
      </w:pPr>
    </w:p>
    <w:p>
      <w:pPr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Глава сельского поселения</w:t>
      </w:r>
    </w:p>
    <w:p>
      <w:pPr>
        <w:rPr>
          <w:color w:val="3F3F3F" w:themeColor="text1" w:themeTint="BF"/>
          <w:sz w:val="28"/>
          <w:szCs w:val="28"/>
        </w:rPr>
      </w:pPr>
    </w:p>
    <w:p>
      <w:pPr>
        <w:rPr>
          <w:color w:val="3F3F3F" w:themeColor="text1" w:themeTint="BF"/>
          <w:sz w:val="28"/>
          <w:szCs w:val="28"/>
        </w:rPr>
      </w:pPr>
    </w:p>
    <w:p>
      <w:pPr>
        <w:rPr>
          <w:color w:val="3F3F3F" w:themeColor="text1" w:themeTint="BF"/>
          <w:sz w:val="28"/>
          <w:szCs w:val="28"/>
        </w:rPr>
      </w:pPr>
    </w:p>
    <w:p>
      <w:pPr>
        <w:rPr>
          <w:color w:val="3F3F3F" w:themeColor="text1" w:themeTint="BF"/>
          <w:sz w:val="28"/>
          <w:szCs w:val="28"/>
        </w:rPr>
      </w:pPr>
    </w:p>
    <w:p>
      <w:pPr>
        <w:rPr>
          <w:color w:val="3F3F3F" w:themeColor="text1" w:themeTint="BF"/>
          <w:sz w:val="28"/>
          <w:szCs w:val="28"/>
        </w:rPr>
      </w:pPr>
      <w:r>
        <w:rPr>
          <w:color w:val="3F3F3F" w:themeColor="text1" w:themeTint="BF"/>
          <w:sz w:val="28"/>
          <w:szCs w:val="28"/>
        </w:rPr>
        <w:t>_____________________________________</w:t>
      </w:r>
    </w:p>
    <w:p>
      <w:pPr>
        <w:jc w:val="both"/>
        <w:rPr>
          <w:color w:val="3F3F3F" w:themeColor="text1" w:themeTint="BF"/>
          <w:sz w:val="22"/>
          <w:szCs w:val="22"/>
        </w:rPr>
      </w:pPr>
      <w:r>
        <w:rPr>
          <w:color w:val="3F3F3F" w:themeColor="text1" w:themeTint="BF"/>
          <w:sz w:val="22"/>
          <w:szCs w:val="22"/>
          <w:vertAlign w:val="superscript"/>
        </w:rPr>
        <w:t>6</w:t>
      </w:r>
      <w:r>
        <w:rPr>
          <w:color w:val="3F3F3F" w:themeColor="text1" w:themeTint="BF"/>
          <w:sz w:val="22"/>
          <w:szCs w:val="22"/>
        </w:rPr>
        <w:t>Варианты заполнения графы: казна, постоянное (бессрочное) пользование, безвозмездное пользование, аренда</w:t>
      </w:r>
    </w:p>
    <w:p>
      <w:pPr>
        <w:jc w:val="both"/>
        <w:rPr>
          <w:color w:val="3F3F3F" w:themeColor="text1" w:themeTint="BF"/>
          <w:sz w:val="22"/>
          <w:szCs w:val="22"/>
        </w:rPr>
      </w:pPr>
      <w:r>
        <w:rPr>
          <w:color w:val="3F3F3F" w:themeColor="text1" w:themeTint="BF"/>
          <w:sz w:val="22"/>
          <w:szCs w:val="22"/>
          <w:vertAlign w:val="superscript"/>
        </w:rPr>
        <w:t>7</w:t>
      </w:r>
      <w:r>
        <w:rPr>
          <w:color w:val="3F3F3F" w:themeColor="text1" w:themeTint="BF"/>
          <w:sz w:val="22"/>
          <w:szCs w:val="22"/>
        </w:rPr>
        <w:t>Графа предназначена для отметки о  включении земельного участка в Прогнозный план приватизации муниципального имущества, о планируемой передаче на иной уровень собственности, о сервитутах, а также об иных обстоятельствах, ограничивающих использование имущества субъектами малого и среднего предпринимательства, организациями, образующими инфраструктуру поддержки субъектов малого и среднего предпринимательства</w:t>
      </w:r>
    </w:p>
    <w:p>
      <w:pPr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  </w:t>
      </w:r>
    </w:p>
    <w:sectPr>
      <w:pgSz w:w="16838" w:h="11906" w:orient="landscape"/>
      <w:pgMar w:top="851" w:right="962" w:bottom="1276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8F431D"/>
    <w:rsid w:val="00005F8B"/>
    <w:rsid w:val="0001144C"/>
    <w:rsid w:val="000376E2"/>
    <w:rsid w:val="000417D2"/>
    <w:rsid w:val="00054543"/>
    <w:rsid w:val="00071B49"/>
    <w:rsid w:val="0008702D"/>
    <w:rsid w:val="00087316"/>
    <w:rsid w:val="000A0FFB"/>
    <w:rsid w:val="000C21C3"/>
    <w:rsid w:val="000D6C97"/>
    <w:rsid w:val="000D7EA9"/>
    <w:rsid w:val="0013212B"/>
    <w:rsid w:val="0013420A"/>
    <w:rsid w:val="001D66A4"/>
    <w:rsid w:val="001F7925"/>
    <w:rsid w:val="00235882"/>
    <w:rsid w:val="00261401"/>
    <w:rsid w:val="002A1D10"/>
    <w:rsid w:val="002A6CDB"/>
    <w:rsid w:val="002C4B98"/>
    <w:rsid w:val="002E4DF7"/>
    <w:rsid w:val="002F374B"/>
    <w:rsid w:val="00306293"/>
    <w:rsid w:val="003319D4"/>
    <w:rsid w:val="00383FCF"/>
    <w:rsid w:val="003C2ACE"/>
    <w:rsid w:val="003E630D"/>
    <w:rsid w:val="003E7E44"/>
    <w:rsid w:val="00401B5D"/>
    <w:rsid w:val="00416AD3"/>
    <w:rsid w:val="00466C4C"/>
    <w:rsid w:val="004A57EC"/>
    <w:rsid w:val="00514646"/>
    <w:rsid w:val="00525A33"/>
    <w:rsid w:val="00540B92"/>
    <w:rsid w:val="005752AC"/>
    <w:rsid w:val="00592919"/>
    <w:rsid w:val="00597C70"/>
    <w:rsid w:val="005C5B0C"/>
    <w:rsid w:val="005D20F8"/>
    <w:rsid w:val="005E4101"/>
    <w:rsid w:val="00644BDB"/>
    <w:rsid w:val="00675C6B"/>
    <w:rsid w:val="006F7479"/>
    <w:rsid w:val="00714215"/>
    <w:rsid w:val="007630C3"/>
    <w:rsid w:val="007B7F07"/>
    <w:rsid w:val="007E039D"/>
    <w:rsid w:val="007F7EC2"/>
    <w:rsid w:val="00805EFB"/>
    <w:rsid w:val="00806503"/>
    <w:rsid w:val="00807A20"/>
    <w:rsid w:val="00854862"/>
    <w:rsid w:val="008679B8"/>
    <w:rsid w:val="008A716D"/>
    <w:rsid w:val="008B021B"/>
    <w:rsid w:val="008B47F8"/>
    <w:rsid w:val="008D4105"/>
    <w:rsid w:val="008E7962"/>
    <w:rsid w:val="008F431D"/>
    <w:rsid w:val="0096731C"/>
    <w:rsid w:val="009A101A"/>
    <w:rsid w:val="009D22AA"/>
    <w:rsid w:val="009E67D3"/>
    <w:rsid w:val="00A07DC9"/>
    <w:rsid w:val="00A11965"/>
    <w:rsid w:val="00A239E1"/>
    <w:rsid w:val="00A41D9C"/>
    <w:rsid w:val="00A512D7"/>
    <w:rsid w:val="00A8709B"/>
    <w:rsid w:val="00A87FD7"/>
    <w:rsid w:val="00A96651"/>
    <w:rsid w:val="00AD269C"/>
    <w:rsid w:val="00AE1A40"/>
    <w:rsid w:val="00AE3FEF"/>
    <w:rsid w:val="00B30B91"/>
    <w:rsid w:val="00B91253"/>
    <w:rsid w:val="00BB44C5"/>
    <w:rsid w:val="00C15E5A"/>
    <w:rsid w:val="00C17759"/>
    <w:rsid w:val="00C43D7F"/>
    <w:rsid w:val="00C67119"/>
    <w:rsid w:val="00C95223"/>
    <w:rsid w:val="00C96E45"/>
    <w:rsid w:val="00C977BD"/>
    <w:rsid w:val="00CD1305"/>
    <w:rsid w:val="00CF42DC"/>
    <w:rsid w:val="00D06A82"/>
    <w:rsid w:val="00D072EE"/>
    <w:rsid w:val="00D4355B"/>
    <w:rsid w:val="00D73D2A"/>
    <w:rsid w:val="00D80586"/>
    <w:rsid w:val="00D93086"/>
    <w:rsid w:val="00E456A1"/>
    <w:rsid w:val="00E55A90"/>
    <w:rsid w:val="00E6587F"/>
    <w:rsid w:val="00E71CAC"/>
    <w:rsid w:val="00F17B7A"/>
    <w:rsid w:val="00F4565A"/>
    <w:rsid w:val="00FC41B8"/>
    <w:rsid w:val="00FD403A"/>
    <w:rsid w:val="00FF7EFD"/>
    <w:rsid w:val="255E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33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9"/>
    <w:basedOn w:val="1"/>
    <w:next w:val="1"/>
    <w:link w:val="36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20"/>
    <w:rPr>
      <w:i/>
      <w:iCs/>
    </w:rPr>
  </w:style>
  <w:style w:type="character" w:styleId="8">
    <w:name w:val="Hyperlink"/>
    <w:basedOn w:val="5"/>
    <w:unhideWhenUsed/>
    <w:qFormat/>
    <w:uiPriority w:val="99"/>
    <w:rPr>
      <w:color w:val="0000FF" w:themeColor="hyperlink"/>
      <w:u w:val="single"/>
    </w:rPr>
  </w:style>
  <w:style w:type="paragraph" w:styleId="9">
    <w:name w:val="Balloon Text"/>
    <w:basedOn w:val="1"/>
    <w:link w:val="20"/>
    <w:semiHidden/>
    <w:unhideWhenUsed/>
    <w:uiPriority w:val="99"/>
    <w:rPr>
      <w:rFonts w:ascii="Tahoma" w:hAnsi="Tahoma" w:cs="Tahoma"/>
      <w:sz w:val="16"/>
      <w:szCs w:val="16"/>
    </w:rPr>
  </w:style>
  <w:style w:type="paragraph" w:styleId="10">
    <w:name w:val="Body Text"/>
    <w:basedOn w:val="1"/>
    <w:link w:val="17"/>
    <w:semiHidden/>
    <w:uiPriority w:val="0"/>
    <w:pPr>
      <w:jc w:val="both"/>
    </w:pPr>
    <w:rPr>
      <w:sz w:val="28"/>
    </w:rPr>
  </w:style>
  <w:style w:type="paragraph" w:styleId="11">
    <w:name w:val="Title"/>
    <w:basedOn w:val="1"/>
    <w:next w:val="1"/>
    <w:link w:val="32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12">
    <w:name w:val="Subtitle"/>
    <w:basedOn w:val="1"/>
    <w:next w:val="1"/>
    <w:link w:val="3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</w:rPr>
  </w:style>
  <w:style w:type="table" w:styleId="13">
    <w:name w:val="Table Grid"/>
    <w:basedOn w:val="6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ConsPlusNormal"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paragraph" w:customStyle="1" w:styleId="15">
    <w:name w:val="ConsPlusTitle"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  <w:style w:type="paragraph" w:customStyle="1" w:styleId="16">
    <w:name w:val="ConsPlusNonformat"/>
    <w:uiPriority w:val="0"/>
    <w:pPr>
      <w:widowControl w:val="0"/>
      <w:autoSpaceDE w:val="0"/>
      <w:autoSpaceDN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character" w:customStyle="1" w:styleId="17">
    <w:name w:val="Основной текст Знак"/>
    <w:basedOn w:val="5"/>
    <w:link w:val="10"/>
    <w:semiHidden/>
    <w:uiPriority w:val="0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customStyle="1" w:styleId="18">
    <w:name w:val="ConsNonformat"/>
    <w:uiPriority w:val="0"/>
    <w:pPr>
      <w:widowControl w:val="0"/>
      <w:snapToGrid w:val="0"/>
      <w:spacing w:after="0" w:line="240" w:lineRule="auto"/>
    </w:pPr>
    <w:rPr>
      <w:rFonts w:ascii="Courier New" w:hAnsi="Courier New" w:eastAsia="Times New Roman" w:cs="Times New Roman"/>
      <w:sz w:val="20"/>
      <w:szCs w:val="20"/>
      <w:lang w:val="ru-RU" w:eastAsia="ru-RU" w:bidi="ar-SA"/>
    </w:rPr>
  </w:style>
  <w:style w:type="paragraph" w:customStyle="1" w:styleId="19">
    <w:name w:val="ConsNormal"/>
    <w:uiPriority w:val="0"/>
    <w:pPr>
      <w:widowControl w:val="0"/>
      <w:snapToGrid w:val="0"/>
      <w:spacing w:after="0" w:line="240" w:lineRule="auto"/>
      <w:ind w:firstLine="720"/>
    </w:pPr>
    <w:rPr>
      <w:rFonts w:ascii="Arial" w:hAnsi="Arial" w:eastAsia="Times New Roman" w:cs="Times New Roman"/>
      <w:sz w:val="18"/>
      <w:szCs w:val="20"/>
      <w:lang w:val="ru-RU" w:eastAsia="ru-RU" w:bidi="ar-SA"/>
    </w:rPr>
  </w:style>
  <w:style w:type="character" w:customStyle="1" w:styleId="20">
    <w:name w:val="Текст выноски Знак"/>
    <w:basedOn w:val="5"/>
    <w:link w:val="9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21">
    <w:name w:val="Основной текст_"/>
    <w:basedOn w:val="5"/>
    <w:link w:val="22"/>
    <w:uiPriority w:val="0"/>
    <w:rPr>
      <w:rFonts w:ascii="Times New Roman" w:hAnsi="Times New Roman" w:eastAsia="Times New Roman" w:cs="Times New Roman"/>
      <w:spacing w:val="6"/>
      <w:shd w:val="clear" w:color="auto" w:fill="FFFFFF"/>
    </w:rPr>
  </w:style>
  <w:style w:type="paragraph" w:customStyle="1" w:styleId="22">
    <w:name w:val="Основной текст2"/>
    <w:basedOn w:val="1"/>
    <w:link w:val="21"/>
    <w:uiPriority w:val="0"/>
    <w:pPr>
      <w:widowControl w:val="0"/>
      <w:shd w:val="clear" w:color="auto" w:fill="FFFFFF"/>
      <w:spacing w:before="180" w:line="0" w:lineRule="atLeast"/>
      <w:jc w:val="center"/>
    </w:pPr>
    <w:rPr>
      <w:spacing w:val="6"/>
      <w:sz w:val="22"/>
      <w:szCs w:val="22"/>
      <w:lang w:eastAsia="en-US"/>
    </w:rPr>
  </w:style>
  <w:style w:type="character" w:customStyle="1" w:styleId="23">
    <w:name w:val="Subtle Reference"/>
    <w:basedOn w:val="5"/>
    <w:qFormat/>
    <w:uiPriority w:val="31"/>
    <w:rPr>
      <w:smallCaps/>
      <w:color w:val="C0504D" w:themeColor="accent2"/>
      <w:u w:val="single"/>
    </w:rPr>
  </w:style>
  <w:style w:type="character" w:customStyle="1" w:styleId="24">
    <w:name w:val="Intense Reference"/>
    <w:basedOn w:val="5"/>
    <w:qFormat/>
    <w:uiPriority w:val="32"/>
    <w:rPr>
      <w:b/>
      <w:bCs/>
      <w:smallCaps/>
      <w:color w:val="C0504D" w:themeColor="accent2"/>
      <w:spacing w:val="5"/>
      <w:u w:val="single"/>
    </w:rPr>
  </w:style>
  <w:style w:type="paragraph" w:styleId="25">
    <w:name w:val="Intense Quote"/>
    <w:basedOn w:val="1"/>
    <w:next w:val="1"/>
    <w:link w:val="26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6">
    <w:name w:val="Выделенная цитата Знак"/>
    <w:basedOn w:val="5"/>
    <w:link w:val="25"/>
    <w:uiPriority w:val="30"/>
    <w:rPr>
      <w:rFonts w:ascii="Times New Roman" w:hAnsi="Times New Roman" w:eastAsia="Times New Roman" w:cs="Times New Roman"/>
      <w:b/>
      <w:bCs/>
      <w:i/>
      <w:iCs/>
      <w:color w:val="4F81BD" w:themeColor="accent1"/>
      <w:sz w:val="24"/>
      <w:szCs w:val="24"/>
      <w:lang w:eastAsia="ru-RU"/>
    </w:rPr>
  </w:style>
  <w:style w:type="paragraph" w:styleId="27">
    <w:name w:val="Quote"/>
    <w:basedOn w:val="1"/>
    <w:next w:val="1"/>
    <w:link w:val="28"/>
    <w:qFormat/>
    <w:uiPriority w:val="29"/>
    <w:rPr>
      <w:i/>
      <w:iCs/>
      <w:color w:val="000000" w:themeColor="text1"/>
    </w:rPr>
  </w:style>
  <w:style w:type="character" w:customStyle="1" w:styleId="28">
    <w:name w:val="Цитата 2 Знак"/>
    <w:basedOn w:val="5"/>
    <w:link w:val="27"/>
    <w:uiPriority w:val="29"/>
    <w:rPr>
      <w:rFonts w:ascii="Times New Roman" w:hAnsi="Times New Roman" w:eastAsia="Times New Roman" w:cs="Times New Roman"/>
      <w:i/>
      <w:iCs/>
      <w:color w:val="000000" w:themeColor="text1"/>
      <w:sz w:val="24"/>
      <w:szCs w:val="24"/>
      <w:lang w:eastAsia="ru-RU"/>
    </w:rPr>
  </w:style>
  <w:style w:type="character" w:customStyle="1" w:styleId="29">
    <w:name w:val="Intense Emphasis"/>
    <w:basedOn w:val="5"/>
    <w:qFormat/>
    <w:uiPriority w:val="21"/>
    <w:rPr>
      <w:b/>
      <w:bCs/>
      <w:i/>
      <w:iCs/>
      <w:color w:val="4F81BD" w:themeColor="accent1"/>
    </w:rPr>
  </w:style>
  <w:style w:type="character" w:customStyle="1" w:styleId="30">
    <w:name w:val="Subtle Emphasis"/>
    <w:basedOn w:val="5"/>
    <w:qFormat/>
    <w:uiPriority w:val="19"/>
    <w:rPr>
      <w:i/>
      <w:iCs/>
      <w:color w:val="7F7F7F" w:themeColor="text1" w:themeTint="7F"/>
    </w:rPr>
  </w:style>
  <w:style w:type="character" w:customStyle="1" w:styleId="31">
    <w:name w:val="Подзаголовок Знак"/>
    <w:basedOn w:val="5"/>
    <w:link w:val="12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32">
    <w:name w:val="Название Знак"/>
    <w:basedOn w:val="5"/>
    <w:link w:val="11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33">
    <w:name w:val="Заголовок 2 Знак"/>
    <w:basedOn w:val="5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4">
    <w:name w:val="Заголовок 1 Знак"/>
    <w:basedOn w:val="5"/>
    <w:link w:val="2"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ru-RU"/>
    </w:rPr>
  </w:style>
  <w:style w:type="paragraph" w:styleId="35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36">
    <w:name w:val="Заголовок 9 Знак"/>
    <w:basedOn w:val="5"/>
    <w:link w:val="4"/>
    <w:semiHidden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5</Pages>
  <Words>961</Words>
  <Characters>5482</Characters>
  <Lines>45</Lines>
  <Paragraphs>12</Paragraphs>
  <TotalTime>1</TotalTime>
  <ScaleCrop>false</ScaleCrop>
  <LinksUpToDate>false</LinksUpToDate>
  <CharactersWithSpaces>6431</CharactersWithSpaces>
  <Application>WPS Office_11.2.0.11130_F1E327BC-269C-435d-A152-05C5408002CA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2018-06-15T00:50:00Z</dcterms:created>
  <dc:creator>User</dc:creator>
  <cp:lastModifiedBy>nastr</cp:lastModifiedBy>
  <cp:lastPrinted>2019-01-17T03:57:00Z</cp:lastPrinted>
  <dcterms:modified xsi:type="dcterms:W3CDTF">2022-05-25T04:38:32Z</dcterms:modified>
  <cp:revision>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1049-11.2.0.11130</vt:lpwstr>
  </property>
  <property fmtid="{D5CDD505-2E9C-101B-9397-08002B2CF9AE}" pid="3" name="ICV">
    <vt:lpwstr>A1502620F279457B964891942CBFE0BB</vt:lpwstr>
  </property>
</Properties>
</file>